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Times New Roman" w:hAnsi="Times New Roman" w:eastAsia="黑体"/>
          <w:b/>
          <w:color w:val="000000"/>
          <w:sz w:val="52"/>
          <w:szCs w:val="52"/>
        </w:rPr>
      </w:pPr>
    </w:p>
    <w:p>
      <w:pPr>
        <w:spacing w:line="360" w:lineRule="auto"/>
        <w:jc w:val="center"/>
        <w:rPr>
          <w:rFonts w:hint="eastAsia" w:ascii="Times New Roman" w:hAnsi="Times New Roman" w:eastAsia="黑体"/>
          <w:b/>
          <w:color w:val="000000"/>
          <w:sz w:val="52"/>
          <w:szCs w:val="52"/>
        </w:rPr>
      </w:pPr>
      <w:r>
        <w:rPr>
          <w:rFonts w:hint="eastAsia" w:ascii="Times New Roman" w:hAnsi="Times New Roman" w:eastAsia="黑体"/>
          <w:b/>
          <w:color w:val="000000"/>
          <w:sz w:val="52"/>
          <w:szCs w:val="52"/>
        </w:rPr>
        <w:t>郑州至辉县高速公路</w:t>
      </w:r>
    </w:p>
    <w:p>
      <w:pPr>
        <w:spacing w:line="360" w:lineRule="auto"/>
        <w:jc w:val="center"/>
        <w:rPr>
          <w:rFonts w:hint="eastAsia" w:ascii="Times New Roman" w:hAnsi="Times New Roman" w:eastAsia="黑体"/>
          <w:b/>
          <w:color w:val="000000"/>
          <w:sz w:val="52"/>
          <w:szCs w:val="52"/>
        </w:rPr>
      </w:pPr>
      <w:r>
        <w:rPr>
          <w:rFonts w:hint="eastAsia" w:ascii="Times New Roman" w:hAnsi="Times New Roman" w:eastAsia="黑体"/>
          <w:b/>
          <w:color w:val="000000"/>
          <w:sz w:val="52"/>
          <w:szCs w:val="52"/>
        </w:rPr>
        <w:t>新乡至郑州段项目</w:t>
      </w:r>
      <w:r>
        <w:rPr>
          <w:rFonts w:ascii="Times New Roman" w:hAnsi="Times New Roman" w:eastAsia="黑体"/>
          <w:b/>
          <w:color w:val="000000"/>
          <w:sz w:val="52"/>
          <w:szCs w:val="52"/>
        </w:rPr>
        <w:t>市场测试方案</w:t>
      </w:r>
    </w:p>
    <w:p>
      <w:pPr>
        <w:ind w:firstLine="420"/>
        <w:rPr>
          <w:rFonts w:ascii="Times New Roman" w:hAnsi="Times New Roman"/>
          <w:color w:val="000000"/>
        </w:rPr>
      </w:pPr>
    </w:p>
    <w:p>
      <w:pPr>
        <w:pStyle w:val="7"/>
        <w:ind w:firstLine="420"/>
        <w:rPr>
          <w:rFonts w:ascii="Times New Roman" w:hAnsi="Times New Roman"/>
          <w:color w:val="000000"/>
        </w:rPr>
      </w:pPr>
    </w:p>
    <w:p>
      <w:pPr>
        <w:pStyle w:val="7"/>
        <w:ind w:firstLine="420"/>
        <w:rPr>
          <w:rFonts w:ascii="Times New Roman" w:hAnsi="Times New Roman"/>
          <w:color w:val="000000"/>
        </w:rPr>
      </w:pPr>
    </w:p>
    <w:p>
      <w:pPr>
        <w:pStyle w:val="7"/>
        <w:ind w:firstLine="420"/>
        <w:rPr>
          <w:rFonts w:ascii="Times New Roman" w:hAnsi="Times New Roman"/>
          <w:color w:val="000000"/>
        </w:rPr>
      </w:pPr>
    </w:p>
    <w:p>
      <w:pPr>
        <w:pStyle w:val="7"/>
        <w:ind w:firstLine="420"/>
        <w:rPr>
          <w:rFonts w:ascii="Times New Roman" w:hAnsi="Times New Roman"/>
          <w:color w:val="000000"/>
        </w:rPr>
      </w:pPr>
    </w:p>
    <w:p>
      <w:pPr>
        <w:pStyle w:val="7"/>
        <w:ind w:firstLine="420"/>
        <w:rPr>
          <w:rFonts w:ascii="Times New Roman" w:hAnsi="Times New Roman"/>
          <w:color w:val="000000"/>
        </w:rPr>
      </w:pPr>
    </w:p>
    <w:p>
      <w:pPr>
        <w:pStyle w:val="7"/>
        <w:ind w:firstLine="420"/>
        <w:rPr>
          <w:rFonts w:ascii="Times New Roman" w:hAnsi="Times New Roman"/>
          <w:color w:val="000000"/>
        </w:rPr>
      </w:pPr>
    </w:p>
    <w:p>
      <w:pPr>
        <w:pStyle w:val="7"/>
        <w:ind w:firstLine="420"/>
        <w:rPr>
          <w:rFonts w:ascii="Times New Roman" w:hAnsi="Times New Roman"/>
          <w:color w:val="000000"/>
        </w:rPr>
      </w:pPr>
    </w:p>
    <w:p>
      <w:pPr>
        <w:pStyle w:val="7"/>
        <w:ind w:firstLine="420"/>
        <w:rPr>
          <w:rFonts w:ascii="Times New Roman" w:hAnsi="Times New Roman"/>
          <w:color w:val="000000"/>
        </w:rPr>
      </w:pPr>
    </w:p>
    <w:p>
      <w:pPr>
        <w:pStyle w:val="7"/>
        <w:ind w:firstLine="420"/>
        <w:rPr>
          <w:rFonts w:ascii="Times New Roman" w:hAnsi="Times New Roman"/>
          <w:color w:val="000000"/>
        </w:rPr>
      </w:pPr>
    </w:p>
    <w:p>
      <w:pPr>
        <w:pStyle w:val="7"/>
        <w:ind w:firstLine="420"/>
        <w:rPr>
          <w:rFonts w:ascii="Times New Roman" w:hAnsi="Times New Roman"/>
          <w:color w:val="000000"/>
        </w:rPr>
      </w:pPr>
    </w:p>
    <w:p>
      <w:pPr>
        <w:pStyle w:val="7"/>
        <w:rPr>
          <w:rFonts w:ascii="Times New Roman" w:hAnsi="Times New Roman"/>
          <w:color w:val="000000"/>
        </w:rPr>
      </w:pPr>
    </w:p>
    <w:p>
      <w:pPr>
        <w:pStyle w:val="7"/>
        <w:ind w:firstLine="420"/>
        <w:rPr>
          <w:rFonts w:ascii="Times New Roman" w:hAnsi="Times New Roman"/>
          <w:color w:val="000000"/>
        </w:rPr>
      </w:pPr>
    </w:p>
    <w:p>
      <w:pPr>
        <w:pStyle w:val="7"/>
        <w:ind w:firstLine="420"/>
        <w:rPr>
          <w:rFonts w:ascii="Times New Roman" w:hAnsi="Times New Roman"/>
          <w:color w:val="000000"/>
        </w:rPr>
      </w:pPr>
    </w:p>
    <w:p>
      <w:pPr>
        <w:pStyle w:val="7"/>
        <w:ind w:firstLine="420"/>
        <w:rPr>
          <w:rFonts w:ascii="Times New Roman" w:hAnsi="Times New Roman"/>
          <w:color w:val="000000"/>
        </w:rPr>
      </w:pPr>
    </w:p>
    <w:p>
      <w:pPr>
        <w:pStyle w:val="7"/>
        <w:ind w:firstLine="420"/>
        <w:rPr>
          <w:rFonts w:ascii="Times New Roman" w:hAnsi="Times New Roman"/>
          <w:color w:val="000000"/>
        </w:rPr>
      </w:pPr>
    </w:p>
    <w:p>
      <w:pPr>
        <w:pStyle w:val="7"/>
        <w:ind w:firstLine="420"/>
        <w:rPr>
          <w:rFonts w:ascii="Times New Roman" w:hAnsi="Times New Roman"/>
          <w:color w:val="000000"/>
        </w:rPr>
      </w:pPr>
    </w:p>
    <w:p>
      <w:pPr>
        <w:widowControl/>
        <w:jc w:val="center"/>
        <w:rPr>
          <w:rFonts w:ascii="Times New Roman" w:hAnsi="Times New Roman" w:eastAsia="黑体"/>
          <w:b/>
          <w:color w:val="000000"/>
          <w:sz w:val="36"/>
          <w:szCs w:val="48"/>
        </w:rPr>
      </w:pPr>
      <w:bookmarkStart w:id="38" w:name="_GoBack"/>
      <w:r>
        <w:rPr>
          <w:rFonts w:hint="eastAsia" w:ascii="Times New Roman" w:hAnsi="Times New Roman" w:eastAsia="黑体"/>
          <w:b/>
          <w:color w:val="000000"/>
          <w:sz w:val="36"/>
          <w:szCs w:val="48"/>
        </w:rPr>
        <w:t>新乡</w:t>
      </w:r>
      <w:r>
        <w:rPr>
          <w:rFonts w:ascii="Times New Roman" w:hAnsi="Times New Roman" w:eastAsia="黑体"/>
          <w:b/>
          <w:color w:val="000000"/>
          <w:sz w:val="36"/>
          <w:szCs w:val="48"/>
        </w:rPr>
        <w:t>市交通运输局</w:t>
      </w:r>
    </w:p>
    <w:p>
      <w:pPr>
        <w:pStyle w:val="7"/>
        <w:jc w:val="center"/>
        <w:rPr>
          <w:rFonts w:ascii="Times New Roman" w:hAnsi="Times New Roman" w:eastAsia="黑体"/>
          <w:color w:val="000000"/>
          <w:kern w:val="0"/>
          <w:sz w:val="36"/>
          <w:szCs w:val="24"/>
        </w:rPr>
      </w:pPr>
      <w:r>
        <w:rPr>
          <w:rFonts w:ascii="Times New Roman" w:hAnsi="Times New Roman" w:eastAsia="黑体"/>
          <w:color w:val="000000"/>
          <w:kern w:val="0"/>
          <w:sz w:val="36"/>
          <w:szCs w:val="36"/>
        </w:rPr>
        <w:t>二〇二五年</w:t>
      </w:r>
      <w:r>
        <w:rPr>
          <w:rFonts w:hint="eastAsia" w:ascii="Times New Roman" w:hAnsi="Times New Roman" w:eastAsia="黑体"/>
          <w:color w:val="000000"/>
          <w:kern w:val="0"/>
          <w:sz w:val="36"/>
          <w:szCs w:val="36"/>
        </w:rPr>
        <w:t>十一</w:t>
      </w:r>
      <w:r>
        <w:rPr>
          <w:rFonts w:ascii="Times New Roman" w:hAnsi="Times New Roman" w:eastAsia="黑体"/>
          <w:color w:val="000000"/>
          <w:kern w:val="0"/>
          <w:sz w:val="36"/>
          <w:szCs w:val="24"/>
        </w:rPr>
        <w:t>月</w:t>
      </w:r>
    </w:p>
    <w:bookmarkEnd w:id="38"/>
    <w:p>
      <w:pPr>
        <w:pStyle w:val="7"/>
        <w:ind w:firstLine="720"/>
        <w:jc w:val="center"/>
        <w:rPr>
          <w:rFonts w:ascii="Times New Roman" w:hAnsi="Times New Roman" w:eastAsia="黑体"/>
          <w:color w:val="000000"/>
          <w:kern w:val="0"/>
          <w:sz w:val="36"/>
          <w:szCs w:val="24"/>
        </w:rPr>
      </w:pPr>
    </w:p>
    <w:p>
      <w:pPr>
        <w:spacing w:line="580" w:lineRule="exact"/>
        <w:ind w:firstLine="640" w:firstLineChars="200"/>
        <w:rPr>
          <w:rFonts w:hint="eastAsia" w:ascii="Times New Roman" w:hAnsi="Times New Roman" w:eastAsia="仿宋_GB2312"/>
          <w:color w:val="000000"/>
          <w:sz w:val="32"/>
          <w:szCs w:val="32"/>
        </w:rPr>
      </w:pPr>
    </w:p>
    <w:p>
      <w:pPr>
        <w:widowControl/>
        <w:jc w:val="left"/>
        <w:rPr>
          <w:rFonts w:ascii="Times New Roman" w:hAnsi="Times New Roman"/>
          <w:color w:val="000000"/>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ascii="Times New Roman" w:hAnsi="Times New Roman"/>
          <w:color w:val="000000"/>
        </w:rPr>
        <w:br w:type="page"/>
      </w:r>
    </w:p>
    <w:p>
      <w:pPr>
        <w:widowControl/>
        <w:jc w:val="left"/>
        <w:rPr>
          <w:rFonts w:ascii="Times New Roman" w:hAnsi="Times New Roman"/>
          <w:color w:val="000000"/>
        </w:rPr>
      </w:pPr>
    </w:p>
    <w:p>
      <w:pPr>
        <w:pStyle w:val="30"/>
        <w:spacing w:before="156" w:beforeLines="50" w:line="360" w:lineRule="auto"/>
        <w:jc w:val="center"/>
        <w:outlineLvl w:val="1"/>
        <w:rPr>
          <w:rFonts w:hint="eastAsia" w:ascii="宋体" w:hAnsi="宋体"/>
          <w:b/>
          <w:bCs/>
          <w:color w:val="000000"/>
          <w:kern w:val="28"/>
          <w:sz w:val="40"/>
          <w:szCs w:val="40"/>
        </w:rPr>
      </w:pPr>
      <w:bookmarkStart w:id="0" w:name="_Toc213322086"/>
      <w:r>
        <w:rPr>
          <w:rFonts w:ascii="Times New Roman" w:hAnsi="Times New Roman" w:eastAsia="方正小标宋简体"/>
          <w:b/>
          <w:bCs/>
          <w:color w:val="000000"/>
          <w:kern w:val="28"/>
          <w:sz w:val="40"/>
          <w:szCs w:val="40"/>
        </w:rPr>
        <w:t>目  录</w:t>
      </w:r>
      <w:bookmarkEnd w:id="0"/>
      <w:r>
        <w:rPr>
          <w:rFonts w:ascii="宋体" w:hAnsi="宋体"/>
          <w:color w:val="000000"/>
          <w:sz w:val="40"/>
          <w:szCs w:val="40"/>
        </w:rPr>
        <w:fldChar w:fldCharType="begin"/>
      </w:r>
      <w:r>
        <w:rPr>
          <w:rFonts w:ascii="宋体" w:hAnsi="宋体"/>
          <w:color w:val="000000"/>
          <w:sz w:val="40"/>
          <w:szCs w:val="40"/>
        </w:rPr>
        <w:instrText xml:space="preserve"> TOC \o "1-3" \h \z \u </w:instrText>
      </w:r>
      <w:r>
        <w:rPr>
          <w:rFonts w:ascii="宋体" w:hAnsi="宋体"/>
          <w:color w:val="000000"/>
          <w:sz w:val="40"/>
          <w:szCs w:val="40"/>
        </w:rPr>
        <w:fldChar w:fldCharType="separate"/>
      </w:r>
    </w:p>
    <w:p>
      <w:pPr>
        <w:pStyle w:val="12"/>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"_Toc213322087"</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1 项目基本情况</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_Toc213322087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2</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13"/>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"_Toc213322088"</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1.1 项目概况</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_Toc213322088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2</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"_Toc213322089"</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1.1.1建设地点</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_Toc213322089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2</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"_Toc213322090"</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1.1.2技术标准</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_Toc213322090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2</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"_Toc213322091"</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1.1.3主要工程规模</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_Toc213322091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3</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"_Toc213322092"</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1.1.4投资估算</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_Toc213322092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3</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"_Toc213322093"</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1.1.5建设工期</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_Toc213322093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4</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13"/>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"_Toc213322094"</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1.2当前项目前期工作进程</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_Toc213322094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4</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12"/>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"_Toc213322095"</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2 市场测试方案</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_Toc213322095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5</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13"/>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"_Toc213322096"</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2.1基本思路</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_Toc213322096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5</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13"/>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"_Toc213322097"</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2.2合作边界</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_Toc213322097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5</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"_Toc213322098"</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2.2.1合作期限</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_Toc213322098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5</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"_Toc213322099"</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2.2.2政府方权利义务</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_Toc213322099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6</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"_Toc213322100"</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2.2.3特许经营者权利义务</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_Toc213322100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6</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"_Toc213322101"</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2.2.4主要风险分配</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_Toc213322101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7</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"_Toc213322102"</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（1）资金风险</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_Toc213322102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7</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"_Toc213322103"</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（2）征地拆迁风险</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_Toc213322103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8</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"_Toc213322104"</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（3）建设风险</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_Toc213322104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8</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"_Toc213322105"</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（4）收入风险</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_Toc213322105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8</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13"/>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"_Toc213322106"</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2.3 特许经营者要求</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_Toc213322106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8</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"_Toc213322107"</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2.3.1选择方式</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_Toc213322107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8</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"_Toc213322108"</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2.3.2选择标准</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_Toc213322108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8</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"_Toc213322109"</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2.3.3业绩</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_Toc213322109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9</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13"/>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"_Toc213322110"</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2.4 其它意见和建议</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_Toc213322110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9</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12"/>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"_Toc213322111"</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3 项目收入、成本及效益分析</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_Toc213322111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10</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13"/>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"_Toc213322112"</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3.1项目投资</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_Toc213322112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10</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13"/>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"_Toc213322113"</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3.2项目收入</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_Toc213322113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10</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"_Toc213322114"</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3.2.1车辆通行费收入</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_Toc213322114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10</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"_Toc213322115"</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3.2.2其他业务收入</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_Toc213322115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12</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13"/>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"_Toc213322116"</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3.3项目成本</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_Toc213322116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12</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"_Toc213322117"</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3.3.1运营成本</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_Toc213322117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12</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"_Toc213322118"</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3.3.2财务成本</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_Toc213322118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13</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9"/>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"_Toc213322119"</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3.3.3相关税费</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_Toc213322119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13</w:t>
      </w:r>
      <w:r>
        <w:rPr>
          <w:rFonts w:hint="eastAsia" w:ascii="宋体" w:hAnsi="宋体"/>
          <w:sz w:val="28"/>
          <w:szCs w:val="28"/>
          <w:lang/>
        </w:rPr>
        <w:fldChar w:fldCharType="end"/>
      </w:r>
      <w:r>
        <w:rPr>
          <w:rStyle w:val="18"/>
          <w:rFonts w:hint="eastAsia" w:ascii="宋体" w:hAnsi="宋体"/>
          <w:sz w:val="28"/>
          <w:szCs w:val="28"/>
          <w:lang/>
        </w:rPr>
        <w:fldChar w:fldCharType="end"/>
      </w:r>
    </w:p>
    <w:p>
      <w:pPr>
        <w:pStyle w:val="13"/>
        <w:tabs>
          <w:tab w:val="right" w:leader="dot" w:pos="8296"/>
        </w:tabs>
        <w:rPr>
          <w:rFonts w:hint="eastAsia" w:ascii="宋体" w:hAnsi="宋体"/>
          <w:sz w:val="28"/>
          <w:szCs w:val="28"/>
          <w:lang/>
        </w:rPr>
      </w:pPr>
      <w:r>
        <w:rPr>
          <w:rStyle w:val="18"/>
          <w:rFonts w:hint="eastAsia" w:ascii="宋体" w:hAnsi="宋体"/>
          <w:sz w:val="28"/>
          <w:szCs w:val="28"/>
          <w:lang/>
        </w:rPr>
        <w:fldChar w:fldCharType="begin"/>
      </w:r>
      <w:r>
        <w:rPr>
          <w:rStyle w:val="18"/>
          <w:rFonts w:hint="eastAsia" w:ascii="宋体" w:hAnsi="宋体"/>
          <w:sz w:val="28"/>
          <w:szCs w:val="28"/>
          <w:lang/>
        </w:rPr>
        <w:instrText xml:space="preserve"> </w:instrText>
      </w:r>
      <w:r>
        <w:rPr>
          <w:rFonts w:hint="eastAsia" w:ascii="宋体" w:hAnsi="宋体"/>
          <w:sz w:val="28"/>
          <w:szCs w:val="28"/>
          <w:lang/>
        </w:rPr>
        <w:instrText xml:space="preserve">HYPERLINK \l "_Toc213322120"</w:instrText>
      </w:r>
      <w:r>
        <w:rPr>
          <w:rStyle w:val="18"/>
          <w:rFonts w:hint="eastAsia" w:ascii="宋体" w:hAnsi="宋体"/>
          <w:sz w:val="28"/>
          <w:szCs w:val="28"/>
          <w:lang/>
        </w:rPr>
        <w:instrText xml:space="preserve"> </w:instrText>
      </w:r>
      <w:r>
        <w:rPr>
          <w:rStyle w:val="18"/>
          <w:rFonts w:hint="eastAsia" w:ascii="宋体" w:hAnsi="宋体"/>
          <w:sz w:val="28"/>
          <w:szCs w:val="28"/>
          <w:lang/>
        </w:rPr>
        <w:fldChar w:fldCharType="separate"/>
      </w:r>
      <w:r>
        <w:rPr>
          <w:rStyle w:val="18"/>
          <w:rFonts w:hint="eastAsia" w:ascii="宋体" w:hAnsi="宋体"/>
          <w:sz w:val="28"/>
          <w:szCs w:val="28"/>
          <w:lang/>
        </w:rPr>
        <w:t>3.4效益测算</w:t>
      </w:r>
      <w:r>
        <w:rPr>
          <w:rFonts w:hint="eastAsia" w:ascii="宋体" w:hAnsi="宋体"/>
          <w:sz w:val="28"/>
          <w:szCs w:val="28"/>
          <w:lang/>
        </w:rPr>
        <w:tab/>
      </w:r>
      <w:r>
        <w:rPr>
          <w:rFonts w:hint="eastAsia" w:ascii="宋体" w:hAnsi="宋体"/>
          <w:sz w:val="28"/>
          <w:szCs w:val="28"/>
          <w:lang/>
        </w:rPr>
        <w:fldChar w:fldCharType="begin"/>
      </w:r>
      <w:r>
        <w:rPr>
          <w:rFonts w:hint="eastAsia" w:ascii="宋体" w:hAnsi="宋体"/>
          <w:sz w:val="28"/>
          <w:szCs w:val="28"/>
          <w:lang/>
        </w:rPr>
        <w:instrText xml:space="preserve"> </w:instrText>
      </w:r>
      <w:r>
        <w:rPr>
          <w:rFonts w:ascii="宋体" w:hAnsi="宋体"/>
          <w:sz w:val="28"/>
          <w:szCs w:val="28"/>
          <w:lang/>
        </w:rPr>
        <w:instrText xml:space="preserve">PAGEREF _Toc213322120 \h</w:instrText>
      </w:r>
      <w:r>
        <w:rPr>
          <w:rFonts w:hint="eastAsia" w:ascii="宋体" w:hAnsi="宋体"/>
          <w:sz w:val="28"/>
          <w:szCs w:val="28"/>
          <w:lang/>
        </w:rPr>
        <w:instrText xml:space="preserve"> </w:instrText>
      </w:r>
      <w:r>
        <w:rPr>
          <w:rFonts w:hint="eastAsia" w:ascii="宋体" w:hAnsi="宋体"/>
          <w:sz w:val="28"/>
          <w:szCs w:val="28"/>
          <w:lang/>
        </w:rPr>
        <w:fldChar w:fldCharType="separate"/>
      </w:r>
      <w:r>
        <w:rPr>
          <w:rFonts w:ascii="宋体" w:hAnsi="宋体"/>
          <w:sz w:val="28"/>
          <w:szCs w:val="28"/>
          <w:lang/>
        </w:rPr>
        <w:t>13</w:t>
      </w:r>
      <w:r>
        <w:rPr>
          <w:rFonts w:hint="eastAsia" w:ascii="宋体" w:hAnsi="宋体"/>
          <w:sz w:val="28"/>
          <w:szCs w:val="28"/>
          <w:lang/>
        </w:rPr>
        <w:fldChar w:fldCharType="end"/>
      </w:r>
      <w:r>
        <w:rPr>
          <w:rStyle w:val="18"/>
          <w:rFonts w:hint="eastAsia" w:ascii="宋体" w:hAnsi="宋体"/>
          <w:sz w:val="28"/>
          <w:szCs w:val="28"/>
          <w:lang/>
        </w:rPr>
        <w:fldChar w:fldCharType="end"/>
      </w:r>
    </w:p>
    <w:p>
      <w:pPr>
        <w:spacing w:line="360" w:lineRule="auto"/>
        <w:ind w:firstLine="562"/>
        <w:rPr>
          <w:rFonts w:ascii="宋体" w:hAnsi="宋体"/>
          <w:color w:val="000000"/>
          <w:sz w:val="28"/>
          <w:szCs w:val="28"/>
        </w:rPr>
      </w:pPr>
      <w:r>
        <w:rPr>
          <w:rFonts w:ascii="宋体" w:hAnsi="宋体"/>
          <w:b/>
          <w:bCs/>
          <w:color w:val="000000"/>
          <w:sz w:val="28"/>
          <w:szCs w:val="28"/>
          <w:lang w:val="zh-CN"/>
        </w:rPr>
        <w:fldChar w:fldCharType="end"/>
      </w:r>
    </w:p>
    <w:p>
      <w:pPr>
        <w:widowControl/>
        <w:ind w:firstLine="723"/>
        <w:jc w:val="left"/>
        <w:rPr>
          <w:rFonts w:ascii="Times New Roman" w:hAnsi="Times New Roman"/>
          <w:b/>
          <w:color w:val="000000"/>
          <w:sz w:val="36"/>
        </w:rPr>
      </w:pPr>
      <w:r>
        <w:rPr>
          <w:rFonts w:ascii="Times New Roman" w:hAnsi="Times New Roman"/>
          <w:b/>
          <w:color w:val="000000"/>
          <w:sz w:val="36"/>
        </w:rPr>
        <w:br w:type="page"/>
      </w:r>
    </w:p>
    <w:p>
      <w:pPr>
        <w:pStyle w:val="2"/>
        <w:numPr>
          <w:ilvl w:val="0"/>
          <w:numId w:val="0"/>
        </w:numPr>
        <w:jc w:val="center"/>
        <w:rPr>
          <w:rFonts w:ascii="Times New Roman" w:hAnsi="Times New Roman"/>
          <w:color w:val="000000"/>
        </w:rPr>
        <w:sectPr>
          <w:headerReference r:id="rId5" w:type="default"/>
          <w:footerReference r:id="rId6" w:type="default"/>
          <w:type w:val="continuous"/>
          <w:pgSz w:w="11906" w:h="16838"/>
          <w:pgMar w:top="1440" w:right="1800" w:bottom="1440" w:left="1800" w:header="851" w:footer="992" w:gutter="0"/>
          <w:pgNumType w:fmt="lowerRoman" w:start="1"/>
          <w:cols w:space="720" w:num="1"/>
          <w:docGrid w:type="lines" w:linePitch="312" w:charSpace="0"/>
        </w:sectPr>
      </w:pPr>
    </w:p>
    <w:p>
      <w:pPr>
        <w:pStyle w:val="2"/>
        <w:numPr>
          <w:ilvl w:val="0"/>
          <w:numId w:val="0"/>
        </w:numPr>
        <w:jc w:val="center"/>
        <w:rPr>
          <w:rFonts w:ascii="Times New Roman" w:hAnsi="Times New Roman"/>
          <w:color w:val="000000"/>
        </w:rPr>
      </w:pPr>
      <w:bookmarkStart w:id="1" w:name="_Toc213322087"/>
      <w:r>
        <w:rPr>
          <w:rFonts w:ascii="Times New Roman" w:hAnsi="Times New Roman"/>
          <w:color w:val="000000"/>
        </w:rPr>
        <w:t>1 项目基本情况</w:t>
      </w:r>
      <w:bookmarkEnd w:id="1"/>
    </w:p>
    <w:p>
      <w:pPr>
        <w:pStyle w:val="3"/>
        <w:spacing w:before="0" w:after="0" w:line="580" w:lineRule="exact"/>
        <w:ind w:firstLine="643"/>
        <w:rPr>
          <w:rFonts w:ascii="Times New Roman" w:hAnsi="Times New Roman" w:eastAsia="仿宋_GB2312"/>
          <w:color w:val="000000"/>
        </w:rPr>
      </w:pPr>
      <w:bookmarkStart w:id="2" w:name="_Toc19734"/>
      <w:bookmarkStart w:id="3" w:name="_Toc213322088"/>
      <w:r>
        <w:rPr>
          <w:rFonts w:ascii="Times New Roman" w:hAnsi="Times New Roman" w:eastAsia="仿宋_GB2312"/>
          <w:color w:val="000000"/>
        </w:rPr>
        <w:t>1.1 项目概况</w:t>
      </w:r>
      <w:bookmarkEnd w:id="2"/>
      <w:bookmarkEnd w:id="3"/>
    </w:p>
    <w:p>
      <w:pPr>
        <w:pStyle w:val="4"/>
        <w:spacing w:before="0" w:after="0" w:line="580" w:lineRule="exact"/>
        <w:ind w:firstLine="640"/>
        <w:rPr>
          <w:rFonts w:hint="eastAsia" w:ascii="Times New Roman" w:hAnsi="Times New Roman" w:eastAsia="仿宋_GB2312"/>
          <w:color w:val="000000"/>
        </w:rPr>
      </w:pPr>
      <w:bookmarkStart w:id="4" w:name="_Toc213322089"/>
      <w:r>
        <w:rPr>
          <w:rFonts w:ascii="Times New Roman" w:hAnsi="Times New Roman" w:eastAsia="仿宋_GB2312"/>
          <w:color w:val="000000"/>
        </w:rPr>
        <w:t>1.1.1</w:t>
      </w:r>
      <w:r>
        <w:rPr>
          <w:rFonts w:hint="eastAsia" w:ascii="Times New Roman" w:hAnsi="Times New Roman" w:eastAsia="仿宋_GB2312"/>
          <w:color w:val="000000"/>
        </w:rPr>
        <w:t>建设地点</w:t>
      </w:r>
      <w:bookmarkEnd w:id="4"/>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本项目涉及河南省新乡市、焦作市、郑州市，起点顺接新晋高速块村营枢纽，从新乡县和获嘉县之间通过，经平原示范区西后，跨越黄河进入郑州</w:t>
      </w:r>
      <w:r>
        <w:rPr>
          <w:rFonts w:ascii="Times New Roman" w:hAnsi="Times New Roman" w:eastAsia="仿宋_GB2312"/>
          <w:color w:val="000000"/>
          <w:sz w:val="32"/>
          <w:szCs w:val="32"/>
        </w:rPr>
        <w:t>。</w:t>
      </w:r>
    </w:p>
    <w:p>
      <w:pPr>
        <w:spacing w:line="360" w:lineRule="auto"/>
        <w:jc w:val="center"/>
        <w:rPr>
          <w:lang/>
        </w:rPr>
      </w:pPr>
      <w:r>
        <w:rPr>
          <w:lang/>
        </w:rPr>
        <w:drawing>
          <wp:inline distT="0" distB="0" distL="114300" distR="114300">
            <wp:extent cx="5180330" cy="3653155"/>
            <wp:effectExtent l="0" t="0" r="1270" b="444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9"/>
                    <a:stretch>
                      <a:fillRect/>
                    </a:stretch>
                  </pic:blipFill>
                  <pic:spPr>
                    <a:xfrm>
                      <a:off x="0" y="0"/>
                      <a:ext cx="5180330" cy="3653155"/>
                    </a:xfrm>
                    <a:prstGeom prst="rect">
                      <a:avLst/>
                    </a:prstGeom>
                    <a:noFill/>
                    <a:ln>
                      <a:noFill/>
                    </a:ln>
                  </pic:spPr>
                </pic:pic>
              </a:graphicData>
            </a:graphic>
          </wp:inline>
        </w:drawing>
      </w:r>
    </w:p>
    <w:p>
      <w:pPr>
        <w:spacing w:line="360" w:lineRule="auto"/>
        <w:jc w:val="center"/>
        <w:rPr>
          <w:rFonts w:ascii="Times New Roman" w:hAnsi="Times New Roman" w:eastAsia="仿宋_GB2312"/>
          <w:b/>
          <w:bCs/>
          <w:color w:val="000000"/>
          <w:sz w:val="28"/>
          <w:szCs w:val="28"/>
        </w:rPr>
      </w:pPr>
      <w:r>
        <w:rPr>
          <w:rFonts w:ascii="Times New Roman" w:hAnsi="Times New Roman" w:eastAsia="仿宋_GB2312"/>
          <w:b/>
          <w:bCs/>
          <w:color w:val="000000"/>
          <w:sz w:val="28"/>
          <w:szCs w:val="28"/>
        </w:rPr>
        <w:t>图 项目地理位置图</w:t>
      </w:r>
    </w:p>
    <w:p>
      <w:pPr>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路线全长59.834公里，其中新乡境54.026公里，焦作境0.216公里，郑州境5.592公里。主要控制因素：新晋高速、菏宝高速、晋新高速、沿黄高速、长修高速、天河路、北四环、沿线各城镇规划、自然保护区、共产主义渠、卫河、人民胜利渠、新焦铁路、京广铁路、高压线等。</w:t>
      </w:r>
    </w:p>
    <w:p>
      <w:pPr>
        <w:pStyle w:val="4"/>
        <w:spacing w:before="0" w:after="0" w:line="580" w:lineRule="exact"/>
        <w:ind w:firstLine="640"/>
        <w:rPr>
          <w:rFonts w:ascii="Times New Roman" w:hAnsi="Times New Roman" w:eastAsia="仿宋_GB2312"/>
          <w:color w:val="000000"/>
        </w:rPr>
      </w:pPr>
      <w:bookmarkStart w:id="5" w:name="_Toc213322090"/>
      <w:r>
        <w:rPr>
          <w:rFonts w:ascii="Times New Roman" w:hAnsi="Times New Roman" w:eastAsia="仿宋_GB2312"/>
          <w:color w:val="000000"/>
        </w:rPr>
        <w:t>1.1.2技术标准</w:t>
      </w:r>
      <w:bookmarkEnd w:id="5"/>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项目推荐采用双向四车道高速公路技术标准，设计速度120公里/小时，路基宽度27米。其中，黄河特大桥采用双向六车道技术标准，宽度2×16.56米；S312至北四环枢纽段采用双向六车道城市快速路的设计标准，桥梁标准宽度采用26.5米</w:t>
      </w:r>
      <w:r>
        <w:rPr>
          <w:rFonts w:ascii="Times New Roman" w:hAnsi="Times New Roman" w:eastAsia="仿宋_GB2312"/>
          <w:color w:val="000000"/>
          <w:sz w:val="32"/>
          <w:szCs w:val="32"/>
        </w:rPr>
        <w:t>。</w:t>
      </w:r>
    </w:p>
    <w:p>
      <w:pPr>
        <w:pStyle w:val="34"/>
        <w:rPr>
          <w:rFonts w:hint="eastAsia"/>
        </w:rPr>
      </w:pPr>
      <w:r>
        <w:t>表  高速公路主要技术指标表</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533"/>
        <w:gridCol w:w="1984"/>
        <w:gridCol w:w="709"/>
        <w:gridCol w:w="1985"/>
        <w:gridCol w:w="1984"/>
        <w:gridCol w:w="113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tblHeader/>
          <w:jc w:val="center"/>
        </w:trPr>
        <w:tc>
          <w:tcPr>
            <w:tcW w:w="959" w:type="dxa"/>
            <w:gridSpan w:val="2"/>
            <w:tcBorders>
              <w:top w:val="single" w:color="auto" w:sz="12" w:space="0"/>
              <w:bottom w:val="single" w:color="auto" w:sz="12" w:space="0"/>
            </w:tcBorders>
            <w:noWrap w:val="0"/>
            <w:vAlign w:val="center"/>
          </w:tcPr>
          <w:p>
            <w:pPr>
              <w:adjustRightInd w:val="0"/>
              <w:snapToGrid w:val="0"/>
              <w:jc w:val="center"/>
              <w:rPr>
                <w:b/>
                <w:bCs/>
                <w:szCs w:val="21"/>
              </w:rPr>
            </w:pPr>
            <w:r>
              <w:rPr>
                <w:b/>
                <w:bCs/>
                <w:szCs w:val="21"/>
              </w:rPr>
              <w:t>项</w:t>
            </w:r>
            <w:r>
              <w:rPr>
                <w:rFonts w:hint="eastAsia"/>
                <w:b/>
                <w:bCs/>
                <w:szCs w:val="21"/>
              </w:rPr>
              <w:t>目</w:t>
            </w:r>
          </w:p>
        </w:tc>
        <w:tc>
          <w:tcPr>
            <w:tcW w:w="1984" w:type="dxa"/>
            <w:tcBorders>
              <w:top w:val="single" w:color="auto" w:sz="12" w:space="0"/>
              <w:bottom w:val="single" w:color="auto" w:sz="12" w:space="0"/>
            </w:tcBorders>
            <w:noWrap w:val="0"/>
            <w:vAlign w:val="center"/>
          </w:tcPr>
          <w:p>
            <w:pPr>
              <w:adjustRightInd w:val="0"/>
              <w:snapToGrid w:val="0"/>
              <w:jc w:val="center"/>
              <w:rPr>
                <w:b/>
                <w:bCs/>
                <w:szCs w:val="21"/>
              </w:rPr>
            </w:pPr>
            <w:r>
              <w:rPr>
                <w:b/>
                <w:bCs/>
                <w:szCs w:val="21"/>
              </w:rPr>
              <w:t>指标名称</w:t>
            </w:r>
          </w:p>
        </w:tc>
        <w:tc>
          <w:tcPr>
            <w:tcW w:w="709" w:type="dxa"/>
            <w:tcBorders>
              <w:top w:val="single" w:color="auto" w:sz="12" w:space="0"/>
              <w:bottom w:val="single" w:color="auto" w:sz="12" w:space="0"/>
            </w:tcBorders>
            <w:noWrap w:val="0"/>
            <w:vAlign w:val="center"/>
          </w:tcPr>
          <w:p>
            <w:pPr>
              <w:adjustRightInd w:val="0"/>
              <w:snapToGrid w:val="0"/>
              <w:jc w:val="center"/>
              <w:rPr>
                <w:b/>
                <w:bCs/>
                <w:szCs w:val="21"/>
              </w:rPr>
            </w:pPr>
            <w:r>
              <w:rPr>
                <w:b/>
                <w:bCs/>
                <w:szCs w:val="21"/>
              </w:rPr>
              <w:t>单位</w:t>
            </w:r>
          </w:p>
        </w:tc>
        <w:tc>
          <w:tcPr>
            <w:tcW w:w="1985" w:type="dxa"/>
            <w:tcBorders>
              <w:top w:val="single" w:color="auto" w:sz="12" w:space="0"/>
              <w:bottom w:val="single" w:color="auto" w:sz="12" w:space="0"/>
            </w:tcBorders>
            <w:noWrap w:val="0"/>
            <w:vAlign w:val="center"/>
          </w:tcPr>
          <w:p>
            <w:pPr>
              <w:adjustRightInd w:val="0"/>
              <w:snapToGrid w:val="0"/>
              <w:jc w:val="center"/>
              <w:rPr>
                <w:b/>
                <w:bCs/>
                <w:szCs w:val="21"/>
              </w:rPr>
            </w:pPr>
            <w:r>
              <w:rPr>
                <w:rFonts w:hint="eastAsia"/>
                <w:b/>
                <w:bCs/>
                <w:szCs w:val="21"/>
              </w:rPr>
              <w:t>规范值</w:t>
            </w:r>
          </w:p>
        </w:tc>
        <w:tc>
          <w:tcPr>
            <w:tcW w:w="1984" w:type="dxa"/>
            <w:tcBorders>
              <w:top w:val="single" w:color="auto" w:sz="12" w:space="0"/>
              <w:bottom w:val="single" w:color="auto" w:sz="12" w:space="0"/>
            </w:tcBorders>
            <w:noWrap w:val="0"/>
            <w:vAlign w:val="center"/>
          </w:tcPr>
          <w:p>
            <w:pPr>
              <w:adjustRightInd w:val="0"/>
              <w:snapToGrid w:val="0"/>
              <w:jc w:val="center"/>
              <w:rPr>
                <w:b/>
                <w:bCs/>
                <w:szCs w:val="21"/>
              </w:rPr>
            </w:pPr>
            <w:r>
              <w:rPr>
                <w:rFonts w:hint="eastAsia"/>
                <w:b/>
                <w:bCs/>
                <w:szCs w:val="21"/>
              </w:rPr>
              <w:t>采用值</w:t>
            </w:r>
          </w:p>
        </w:tc>
        <w:tc>
          <w:tcPr>
            <w:tcW w:w="1134" w:type="dxa"/>
            <w:tcBorders>
              <w:top w:val="single" w:color="auto" w:sz="12" w:space="0"/>
              <w:bottom w:val="single" w:color="auto" w:sz="12" w:space="0"/>
            </w:tcBorders>
            <w:noWrap w:val="0"/>
            <w:vAlign w:val="center"/>
          </w:tcPr>
          <w:p>
            <w:pPr>
              <w:adjustRightInd w:val="0"/>
              <w:snapToGrid w:val="0"/>
              <w:jc w:val="center"/>
              <w:rPr>
                <w:b/>
                <w:bCs/>
                <w:szCs w:val="21"/>
              </w:rPr>
            </w:pPr>
            <w:r>
              <w:rPr>
                <w:b/>
                <w:bCs/>
                <w:szCs w:val="21"/>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tcBorders>
              <w:top w:val="single" w:color="auto" w:sz="12" w:space="0"/>
            </w:tcBorders>
            <w:noWrap w:val="0"/>
            <w:vAlign w:val="center"/>
          </w:tcPr>
          <w:p>
            <w:pPr>
              <w:adjustRightInd w:val="0"/>
              <w:snapToGrid w:val="0"/>
              <w:jc w:val="center"/>
              <w:rPr>
                <w:szCs w:val="21"/>
              </w:rPr>
            </w:pPr>
            <w:r>
              <w:rPr>
                <w:szCs w:val="21"/>
              </w:rPr>
              <w:t>一</w:t>
            </w:r>
          </w:p>
        </w:tc>
        <w:tc>
          <w:tcPr>
            <w:tcW w:w="533" w:type="dxa"/>
            <w:tcBorders>
              <w:top w:val="single" w:color="auto" w:sz="12" w:space="0"/>
            </w:tcBorders>
            <w:noWrap w:val="0"/>
            <w:vAlign w:val="center"/>
          </w:tcPr>
          <w:p>
            <w:pPr>
              <w:adjustRightInd w:val="0"/>
              <w:snapToGrid w:val="0"/>
              <w:jc w:val="center"/>
              <w:rPr>
                <w:szCs w:val="21"/>
              </w:rPr>
            </w:pPr>
          </w:p>
        </w:tc>
        <w:tc>
          <w:tcPr>
            <w:tcW w:w="1984" w:type="dxa"/>
            <w:tcBorders>
              <w:top w:val="single" w:color="auto" w:sz="12" w:space="0"/>
            </w:tcBorders>
            <w:noWrap w:val="0"/>
            <w:vAlign w:val="center"/>
          </w:tcPr>
          <w:p>
            <w:pPr>
              <w:adjustRightInd w:val="0"/>
              <w:snapToGrid w:val="0"/>
              <w:jc w:val="center"/>
              <w:rPr>
                <w:szCs w:val="21"/>
              </w:rPr>
            </w:pPr>
            <w:r>
              <w:rPr>
                <w:szCs w:val="21"/>
              </w:rPr>
              <w:t>综合指标</w:t>
            </w:r>
          </w:p>
        </w:tc>
        <w:tc>
          <w:tcPr>
            <w:tcW w:w="709" w:type="dxa"/>
            <w:tcBorders>
              <w:top w:val="single" w:color="auto" w:sz="12" w:space="0"/>
            </w:tcBorders>
            <w:noWrap w:val="0"/>
            <w:vAlign w:val="center"/>
          </w:tcPr>
          <w:p>
            <w:pPr>
              <w:adjustRightInd w:val="0"/>
              <w:snapToGrid w:val="0"/>
              <w:jc w:val="center"/>
              <w:rPr>
                <w:szCs w:val="21"/>
              </w:rPr>
            </w:pPr>
          </w:p>
        </w:tc>
        <w:tc>
          <w:tcPr>
            <w:tcW w:w="1985" w:type="dxa"/>
            <w:tcBorders>
              <w:top w:val="single" w:color="auto" w:sz="12" w:space="0"/>
            </w:tcBorders>
            <w:noWrap w:val="0"/>
            <w:vAlign w:val="center"/>
          </w:tcPr>
          <w:p>
            <w:pPr>
              <w:adjustRightInd w:val="0"/>
              <w:snapToGrid w:val="0"/>
              <w:jc w:val="center"/>
              <w:rPr>
                <w:szCs w:val="21"/>
              </w:rPr>
            </w:pPr>
          </w:p>
        </w:tc>
        <w:tc>
          <w:tcPr>
            <w:tcW w:w="1984" w:type="dxa"/>
            <w:tcBorders>
              <w:top w:val="single" w:color="auto" w:sz="12" w:space="0"/>
            </w:tcBorders>
            <w:noWrap w:val="0"/>
            <w:vAlign w:val="center"/>
          </w:tcPr>
          <w:p>
            <w:pPr>
              <w:adjustRightInd w:val="0"/>
              <w:snapToGrid w:val="0"/>
              <w:jc w:val="center"/>
              <w:rPr>
                <w:szCs w:val="21"/>
              </w:rPr>
            </w:pPr>
          </w:p>
        </w:tc>
        <w:tc>
          <w:tcPr>
            <w:tcW w:w="1134" w:type="dxa"/>
            <w:tcBorders>
              <w:top w:val="single" w:color="auto" w:sz="12" w:space="0"/>
            </w:tcBorders>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1</w:t>
            </w:r>
          </w:p>
        </w:tc>
        <w:tc>
          <w:tcPr>
            <w:tcW w:w="1984" w:type="dxa"/>
            <w:noWrap w:val="0"/>
            <w:vAlign w:val="center"/>
          </w:tcPr>
          <w:p>
            <w:pPr>
              <w:adjustRightInd w:val="0"/>
              <w:snapToGrid w:val="0"/>
              <w:jc w:val="center"/>
              <w:rPr>
                <w:szCs w:val="21"/>
              </w:rPr>
            </w:pPr>
            <w:r>
              <w:rPr>
                <w:szCs w:val="21"/>
              </w:rPr>
              <w:t>建设里程</w:t>
            </w:r>
          </w:p>
        </w:tc>
        <w:tc>
          <w:tcPr>
            <w:tcW w:w="709" w:type="dxa"/>
            <w:noWrap w:val="0"/>
            <w:vAlign w:val="center"/>
          </w:tcPr>
          <w:p>
            <w:pPr>
              <w:adjustRightInd w:val="0"/>
              <w:snapToGrid w:val="0"/>
              <w:jc w:val="center"/>
              <w:rPr>
                <w:szCs w:val="21"/>
              </w:rPr>
            </w:pPr>
            <w:r>
              <w:rPr>
                <w:rFonts w:hint="eastAsia"/>
                <w:szCs w:val="21"/>
              </w:rPr>
              <w:t>k</w:t>
            </w:r>
            <w:r>
              <w:rPr>
                <w:szCs w:val="21"/>
              </w:rPr>
              <w:t>m</w:t>
            </w:r>
          </w:p>
        </w:tc>
        <w:tc>
          <w:tcPr>
            <w:tcW w:w="1985" w:type="dxa"/>
            <w:noWrap w:val="0"/>
            <w:vAlign w:val="center"/>
          </w:tcPr>
          <w:p>
            <w:pPr>
              <w:adjustRightInd w:val="0"/>
              <w:snapToGrid w:val="0"/>
              <w:jc w:val="center"/>
              <w:rPr>
                <w:rFonts w:hint="eastAsia"/>
                <w:szCs w:val="21"/>
              </w:rPr>
            </w:pPr>
            <w:r>
              <w:rPr>
                <w:rFonts w:hint="eastAsia"/>
                <w:szCs w:val="21"/>
              </w:rPr>
              <w:t>-</w:t>
            </w:r>
          </w:p>
        </w:tc>
        <w:tc>
          <w:tcPr>
            <w:tcW w:w="1984" w:type="dxa"/>
            <w:noWrap w:val="0"/>
            <w:vAlign w:val="center"/>
          </w:tcPr>
          <w:p>
            <w:pPr>
              <w:adjustRightInd w:val="0"/>
              <w:snapToGrid w:val="0"/>
              <w:jc w:val="center"/>
              <w:rPr>
                <w:rFonts w:hint="eastAsia"/>
                <w:szCs w:val="21"/>
              </w:rPr>
            </w:pPr>
            <w:r>
              <w:rPr>
                <w:rFonts w:hint="eastAsia"/>
                <w:szCs w:val="21"/>
              </w:rPr>
              <w:t>59.834</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2</w:t>
            </w:r>
          </w:p>
        </w:tc>
        <w:tc>
          <w:tcPr>
            <w:tcW w:w="1984" w:type="dxa"/>
            <w:noWrap w:val="0"/>
            <w:vAlign w:val="center"/>
          </w:tcPr>
          <w:p>
            <w:pPr>
              <w:adjustRightInd w:val="0"/>
              <w:snapToGrid w:val="0"/>
              <w:jc w:val="center"/>
              <w:rPr>
                <w:szCs w:val="21"/>
              </w:rPr>
            </w:pPr>
            <w:r>
              <w:rPr>
                <w:szCs w:val="21"/>
              </w:rPr>
              <w:t>地形</w:t>
            </w:r>
          </w:p>
        </w:tc>
        <w:tc>
          <w:tcPr>
            <w:tcW w:w="709" w:type="dxa"/>
            <w:noWrap w:val="0"/>
            <w:vAlign w:val="center"/>
          </w:tcPr>
          <w:p>
            <w:pPr>
              <w:adjustRightInd w:val="0"/>
              <w:snapToGrid w:val="0"/>
              <w:jc w:val="center"/>
              <w:rPr>
                <w:szCs w:val="21"/>
              </w:rPr>
            </w:pPr>
          </w:p>
        </w:tc>
        <w:tc>
          <w:tcPr>
            <w:tcW w:w="1985" w:type="dxa"/>
            <w:noWrap w:val="0"/>
            <w:vAlign w:val="center"/>
          </w:tcPr>
          <w:p>
            <w:pPr>
              <w:adjustRightInd w:val="0"/>
              <w:snapToGrid w:val="0"/>
              <w:jc w:val="center"/>
              <w:rPr>
                <w:szCs w:val="21"/>
              </w:rPr>
            </w:pPr>
            <w:r>
              <w:rPr>
                <w:szCs w:val="21"/>
              </w:rPr>
              <w:t>-</w:t>
            </w:r>
          </w:p>
        </w:tc>
        <w:tc>
          <w:tcPr>
            <w:tcW w:w="1984" w:type="dxa"/>
            <w:noWrap w:val="0"/>
            <w:vAlign w:val="center"/>
          </w:tcPr>
          <w:p>
            <w:pPr>
              <w:adjustRightInd w:val="0"/>
              <w:snapToGrid w:val="0"/>
              <w:jc w:val="center"/>
              <w:rPr>
                <w:szCs w:val="21"/>
              </w:rPr>
            </w:pPr>
            <w:r>
              <w:rPr>
                <w:rFonts w:hint="eastAsia"/>
                <w:szCs w:val="21"/>
              </w:rPr>
              <w:t>平原区</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3</w:t>
            </w:r>
          </w:p>
        </w:tc>
        <w:tc>
          <w:tcPr>
            <w:tcW w:w="1984" w:type="dxa"/>
            <w:noWrap w:val="0"/>
            <w:vAlign w:val="center"/>
          </w:tcPr>
          <w:p>
            <w:pPr>
              <w:adjustRightInd w:val="0"/>
              <w:snapToGrid w:val="0"/>
              <w:jc w:val="center"/>
              <w:rPr>
                <w:szCs w:val="21"/>
              </w:rPr>
            </w:pPr>
            <w:r>
              <w:rPr>
                <w:szCs w:val="21"/>
              </w:rPr>
              <w:t>公路等级</w:t>
            </w:r>
          </w:p>
        </w:tc>
        <w:tc>
          <w:tcPr>
            <w:tcW w:w="709" w:type="dxa"/>
            <w:noWrap w:val="0"/>
            <w:vAlign w:val="center"/>
          </w:tcPr>
          <w:p>
            <w:pPr>
              <w:adjustRightInd w:val="0"/>
              <w:snapToGrid w:val="0"/>
              <w:jc w:val="center"/>
              <w:rPr>
                <w:szCs w:val="21"/>
              </w:rPr>
            </w:pPr>
          </w:p>
        </w:tc>
        <w:tc>
          <w:tcPr>
            <w:tcW w:w="1985" w:type="dxa"/>
            <w:noWrap w:val="0"/>
            <w:vAlign w:val="center"/>
          </w:tcPr>
          <w:p>
            <w:pPr>
              <w:adjustRightInd w:val="0"/>
              <w:snapToGrid w:val="0"/>
              <w:jc w:val="center"/>
              <w:rPr>
                <w:szCs w:val="21"/>
              </w:rPr>
            </w:pPr>
            <w:r>
              <w:rPr>
                <w:szCs w:val="21"/>
              </w:rPr>
              <w:t>-</w:t>
            </w:r>
          </w:p>
        </w:tc>
        <w:tc>
          <w:tcPr>
            <w:tcW w:w="1984" w:type="dxa"/>
            <w:noWrap w:val="0"/>
            <w:vAlign w:val="center"/>
          </w:tcPr>
          <w:p>
            <w:pPr>
              <w:adjustRightInd w:val="0"/>
              <w:snapToGrid w:val="0"/>
              <w:jc w:val="center"/>
              <w:rPr>
                <w:szCs w:val="21"/>
              </w:rPr>
            </w:pPr>
            <w:r>
              <w:rPr>
                <w:szCs w:val="21"/>
              </w:rPr>
              <w:t>四车道</w:t>
            </w:r>
            <w:r>
              <w:rPr>
                <w:rFonts w:hint="eastAsia"/>
                <w:szCs w:val="21"/>
              </w:rPr>
              <w:t>高速</w:t>
            </w:r>
            <w:r>
              <w:rPr>
                <w:szCs w:val="21"/>
              </w:rPr>
              <w:t>公路</w:t>
            </w:r>
          </w:p>
        </w:tc>
        <w:tc>
          <w:tcPr>
            <w:tcW w:w="1134" w:type="dxa"/>
            <w:noWrap w:val="0"/>
            <w:vAlign w:val="center"/>
          </w:tcPr>
          <w:p>
            <w:pPr>
              <w:adjustRightInd w:val="0"/>
              <w:snapToGrid w:val="0"/>
              <w:jc w:val="center"/>
              <w:rPr>
                <w:szCs w:val="21"/>
              </w:rPr>
            </w:pPr>
            <w:r>
              <w:rPr>
                <w:rFonts w:hint="eastAsia"/>
                <w:szCs w:val="21"/>
              </w:rPr>
              <w:t>六车道</w:t>
            </w:r>
          </w:p>
          <w:p>
            <w:pPr>
              <w:adjustRightInd w:val="0"/>
              <w:snapToGrid w:val="0"/>
              <w:jc w:val="center"/>
              <w:rPr>
                <w:szCs w:val="21"/>
              </w:rPr>
            </w:pPr>
            <w:r>
              <w:rPr>
                <w:rFonts w:hint="eastAsia"/>
                <w:szCs w:val="21"/>
              </w:rPr>
              <w:t>黄河桥</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4</w:t>
            </w:r>
          </w:p>
        </w:tc>
        <w:tc>
          <w:tcPr>
            <w:tcW w:w="1984" w:type="dxa"/>
            <w:noWrap w:val="0"/>
            <w:vAlign w:val="center"/>
          </w:tcPr>
          <w:p>
            <w:pPr>
              <w:adjustRightInd w:val="0"/>
              <w:snapToGrid w:val="0"/>
              <w:jc w:val="center"/>
              <w:rPr>
                <w:szCs w:val="21"/>
              </w:rPr>
            </w:pPr>
            <w:r>
              <w:rPr>
                <w:rFonts w:hint="eastAsia"/>
                <w:szCs w:val="21"/>
              </w:rPr>
              <w:t>设计速度</w:t>
            </w:r>
          </w:p>
        </w:tc>
        <w:tc>
          <w:tcPr>
            <w:tcW w:w="709" w:type="dxa"/>
            <w:noWrap w:val="0"/>
            <w:vAlign w:val="center"/>
          </w:tcPr>
          <w:p>
            <w:pPr>
              <w:adjustRightInd w:val="0"/>
              <w:snapToGrid w:val="0"/>
              <w:jc w:val="center"/>
              <w:rPr>
                <w:szCs w:val="21"/>
              </w:rPr>
            </w:pPr>
            <w:r>
              <w:rPr>
                <w:szCs w:val="21"/>
              </w:rPr>
              <w:t>km/h</w:t>
            </w:r>
          </w:p>
        </w:tc>
        <w:tc>
          <w:tcPr>
            <w:tcW w:w="1985" w:type="dxa"/>
            <w:noWrap w:val="0"/>
            <w:vAlign w:val="center"/>
          </w:tcPr>
          <w:p>
            <w:pPr>
              <w:adjustRightInd w:val="0"/>
              <w:snapToGrid w:val="0"/>
              <w:jc w:val="center"/>
              <w:rPr>
                <w:szCs w:val="21"/>
              </w:rPr>
            </w:pPr>
            <w:r>
              <w:rPr>
                <w:szCs w:val="21"/>
              </w:rPr>
              <w:t>-</w:t>
            </w:r>
          </w:p>
        </w:tc>
        <w:tc>
          <w:tcPr>
            <w:tcW w:w="1984" w:type="dxa"/>
            <w:noWrap w:val="0"/>
            <w:vAlign w:val="center"/>
          </w:tcPr>
          <w:p>
            <w:pPr>
              <w:adjustRightInd w:val="0"/>
              <w:snapToGrid w:val="0"/>
              <w:jc w:val="center"/>
              <w:rPr>
                <w:szCs w:val="21"/>
              </w:rPr>
            </w:pPr>
            <w:r>
              <w:rPr>
                <w:szCs w:val="21"/>
              </w:rPr>
              <w:t>120</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r>
              <w:rPr>
                <w:szCs w:val="21"/>
              </w:rPr>
              <w:t>二</w:t>
            </w:r>
          </w:p>
        </w:tc>
        <w:tc>
          <w:tcPr>
            <w:tcW w:w="533" w:type="dxa"/>
            <w:noWrap w:val="0"/>
            <w:vAlign w:val="center"/>
          </w:tcPr>
          <w:p>
            <w:pPr>
              <w:adjustRightInd w:val="0"/>
              <w:snapToGrid w:val="0"/>
              <w:jc w:val="center"/>
              <w:rPr>
                <w:szCs w:val="21"/>
              </w:rPr>
            </w:pPr>
          </w:p>
        </w:tc>
        <w:tc>
          <w:tcPr>
            <w:tcW w:w="1984" w:type="dxa"/>
            <w:noWrap w:val="0"/>
            <w:vAlign w:val="center"/>
          </w:tcPr>
          <w:p>
            <w:pPr>
              <w:adjustRightInd w:val="0"/>
              <w:snapToGrid w:val="0"/>
              <w:jc w:val="center"/>
              <w:rPr>
                <w:szCs w:val="21"/>
              </w:rPr>
            </w:pPr>
            <w:r>
              <w:rPr>
                <w:szCs w:val="21"/>
              </w:rPr>
              <w:t>路基指标</w:t>
            </w:r>
          </w:p>
        </w:tc>
        <w:tc>
          <w:tcPr>
            <w:tcW w:w="709" w:type="dxa"/>
            <w:noWrap w:val="0"/>
            <w:vAlign w:val="center"/>
          </w:tcPr>
          <w:p>
            <w:pPr>
              <w:adjustRightInd w:val="0"/>
              <w:snapToGrid w:val="0"/>
              <w:jc w:val="center"/>
              <w:rPr>
                <w:szCs w:val="21"/>
              </w:rPr>
            </w:pPr>
          </w:p>
        </w:tc>
        <w:tc>
          <w:tcPr>
            <w:tcW w:w="1985" w:type="dxa"/>
            <w:noWrap w:val="0"/>
            <w:vAlign w:val="center"/>
          </w:tcPr>
          <w:p>
            <w:pPr>
              <w:adjustRightInd w:val="0"/>
              <w:snapToGrid w:val="0"/>
              <w:jc w:val="center"/>
              <w:rPr>
                <w:szCs w:val="21"/>
              </w:rPr>
            </w:pPr>
          </w:p>
        </w:tc>
        <w:tc>
          <w:tcPr>
            <w:tcW w:w="1984" w:type="dxa"/>
            <w:noWrap w:val="0"/>
            <w:vAlign w:val="center"/>
          </w:tcPr>
          <w:p>
            <w:pPr>
              <w:adjustRightInd w:val="0"/>
              <w:snapToGrid w:val="0"/>
              <w:jc w:val="center"/>
              <w:rPr>
                <w:szCs w:val="21"/>
              </w:rPr>
            </w:pP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1</w:t>
            </w:r>
          </w:p>
        </w:tc>
        <w:tc>
          <w:tcPr>
            <w:tcW w:w="1984" w:type="dxa"/>
            <w:noWrap w:val="0"/>
            <w:vAlign w:val="center"/>
          </w:tcPr>
          <w:p>
            <w:pPr>
              <w:adjustRightInd w:val="0"/>
              <w:snapToGrid w:val="0"/>
              <w:jc w:val="center"/>
              <w:rPr>
                <w:szCs w:val="21"/>
              </w:rPr>
            </w:pPr>
            <w:r>
              <w:rPr>
                <w:szCs w:val="21"/>
              </w:rPr>
              <w:t>路基宽度</w:t>
            </w:r>
          </w:p>
        </w:tc>
        <w:tc>
          <w:tcPr>
            <w:tcW w:w="709" w:type="dxa"/>
            <w:noWrap w:val="0"/>
            <w:vAlign w:val="center"/>
          </w:tcPr>
          <w:p>
            <w:pPr>
              <w:adjustRightInd w:val="0"/>
              <w:snapToGrid w:val="0"/>
              <w:jc w:val="center"/>
              <w:rPr>
                <w:szCs w:val="21"/>
              </w:rPr>
            </w:pPr>
            <w:r>
              <w:rPr>
                <w:rFonts w:hint="eastAsia"/>
                <w:szCs w:val="21"/>
              </w:rPr>
              <w:t>m</w:t>
            </w:r>
          </w:p>
        </w:tc>
        <w:tc>
          <w:tcPr>
            <w:tcW w:w="1985" w:type="dxa"/>
            <w:noWrap w:val="0"/>
            <w:vAlign w:val="center"/>
          </w:tcPr>
          <w:p>
            <w:pPr>
              <w:adjustRightInd w:val="0"/>
              <w:snapToGrid w:val="0"/>
              <w:jc w:val="center"/>
              <w:rPr>
                <w:szCs w:val="21"/>
              </w:rPr>
            </w:pPr>
            <w:r>
              <w:rPr>
                <w:rFonts w:hint="eastAsia"/>
                <w:szCs w:val="21"/>
              </w:rPr>
              <w:t>整体式：</w:t>
            </w:r>
            <w:r>
              <w:rPr>
                <w:szCs w:val="21"/>
              </w:rPr>
              <w:t>27.0</w:t>
            </w:r>
          </w:p>
          <w:p>
            <w:pPr>
              <w:adjustRightInd w:val="0"/>
              <w:snapToGrid w:val="0"/>
              <w:jc w:val="center"/>
              <w:rPr>
                <w:szCs w:val="21"/>
              </w:rPr>
            </w:pPr>
            <w:r>
              <w:rPr>
                <w:rFonts w:hint="eastAsia"/>
                <w:szCs w:val="21"/>
              </w:rPr>
              <w:t>分离式：2×13.5</w:t>
            </w:r>
          </w:p>
        </w:tc>
        <w:tc>
          <w:tcPr>
            <w:tcW w:w="1984" w:type="dxa"/>
            <w:noWrap w:val="0"/>
            <w:vAlign w:val="center"/>
          </w:tcPr>
          <w:p>
            <w:pPr>
              <w:adjustRightInd w:val="0"/>
              <w:snapToGrid w:val="0"/>
              <w:jc w:val="center"/>
              <w:rPr>
                <w:szCs w:val="21"/>
              </w:rPr>
            </w:pPr>
            <w:r>
              <w:rPr>
                <w:rFonts w:hint="eastAsia"/>
                <w:szCs w:val="21"/>
              </w:rPr>
              <w:t>整体式：</w:t>
            </w:r>
            <w:r>
              <w:rPr>
                <w:szCs w:val="21"/>
              </w:rPr>
              <w:t>27.0</w:t>
            </w:r>
          </w:p>
          <w:p>
            <w:pPr>
              <w:adjustRightInd w:val="0"/>
              <w:snapToGrid w:val="0"/>
              <w:jc w:val="center"/>
              <w:rPr>
                <w:szCs w:val="21"/>
              </w:rPr>
            </w:pPr>
            <w:r>
              <w:rPr>
                <w:rFonts w:hint="eastAsia"/>
                <w:szCs w:val="21"/>
              </w:rPr>
              <w:t>分离式：2×13.5</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2</w:t>
            </w:r>
          </w:p>
        </w:tc>
        <w:tc>
          <w:tcPr>
            <w:tcW w:w="1984" w:type="dxa"/>
            <w:noWrap w:val="0"/>
            <w:vAlign w:val="center"/>
          </w:tcPr>
          <w:p>
            <w:pPr>
              <w:adjustRightInd w:val="0"/>
              <w:snapToGrid w:val="0"/>
              <w:jc w:val="center"/>
              <w:rPr>
                <w:szCs w:val="21"/>
              </w:rPr>
            </w:pPr>
            <w:r>
              <w:rPr>
                <w:szCs w:val="21"/>
              </w:rPr>
              <w:t>行车道宽度</w:t>
            </w:r>
          </w:p>
        </w:tc>
        <w:tc>
          <w:tcPr>
            <w:tcW w:w="709" w:type="dxa"/>
            <w:noWrap w:val="0"/>
            <w:vAlign w:val="center"/>
          </w:tcPr>
          <w:p>
            <w:pPr>
              <w:adjustRightInd w:val="0"/>
              <w:snapToGrid w:val="0"/>
              <w:jc w:val="center"/>
              <w:rPr>
                <w:szCs w:val="21"/>
              </w:rPr>
            </w:pPr>
            <w:r>
              <w:rPr>
                <w:rFonts w:hint="eastAsia"/>
                <w:szCs w:val="21"/>
              </w:rPr>
              <w:t>m</w:t>
            </w:r>
          </w:p>
        </w:tc>
        <w:tc>
          <w:tcPr>
            <w:tcW w:w="1985" w:type="dxa"/>
            <w:noWrap w:val="0"/>
            <w:vAlign w:val="center"/>
          </w:tcPr>
          <w:p>
            <w:pPr>
              <w:adjustRightInd w:val="0"/>
              <w:snapToGrid w:val="0"/>
              <w:jc w:val="center"/>
              <w:rPr>
                <w:szCs w:val="21"/>
              </w:rPr>
            </w:pPr>
            <w:r>
              <w:rPr>
                <w:szCs w:val="21"/>
              </w:rPr>
              <w:t>2×2×3.75</w:t>
            </w:r>
          </w:p>
        </w:tc>
        <w:tc>
          <w:tcPr>
            <w:tcW w:w="1984" w:type="dxa"/>
            <w:noWrap w:val="0"/>
            <w:vAlign w:val="center"/>
          </w:tcPr>
          <w:p>
            <w:pPr>
              <w:adjustRightInd w:val="0"/>
              <w:snapToGrid w:val="0"/>
              <w:jc w:val="center"/>
              <w:rPr>
                <w:szCs w:val="21"/>
              </w:rPr>
            </w:pPr>
            <w:r>
              <w:rPr>
                <w:szCs w:val="21"/>
              </w:rPr>
              <w:t>2×2×3.75</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3</w:t>
            </w:r>
          </w:p>
        </w:tc>
        <w:tc>
          <w:tcPr>
            <w:tcW w:w="1984" w:type="dxa"/>
            <w:noWrap w:val="0"/>
            <w:vAlign w:val="center"/>
          </w:tcPr>
          <w:p>
            <w:pPr>
              <w:adjustRightInd w:val="0"/>
              <w:snapToGrid w:val="0"/>
              <w:jc w:val="center"/>
              <w:rPr>
                <w:szCs w:val="21"/>
              </w:rPr>
            </w:pPr>
            <w:r>
              <w:rPr>
                <w:szCs w:val="21"/>
              </w:rPr>
              <w:t>中央分隔带宽度</w:t>
            </w:r>
          </w:p>
        </w:tc>
        <w:tc>
          <w:tcPr>
            <w:tcW w:w="709" w:type="dxa"/>
            <w:noWrap w:val="0"/>
            <w:vAlign w:val="center"/>
          </w:tcPr>
          <w:p>
            <w:pPr>
              <w:adjustRightInd w:val="0"/>
              <w:snapToGrid w:val="0"/>
              <w:jc w:val="center"/>
              <w:rPr>
                <w:szCs w:val="21"/>
              </w:rPr>
            </w:pPr>
            <w:r>
              <w:rPr>
                <w:rFonts w:hint="eastAsia"/>
                <w:szCs w:val="21"/>
              </w:rPr>
              <w:t>m</w:t>
            </w:r>
          </w:p>
        </w:tc>
        <w:tc>
          <w:tcPr>
            <w:tcW w:w="1985" w:type="dxa"/>
            <w:noWrap w:val="0"/>
            <w:vAlign w:val="center"/>
          </w:tcPr>
          <w:p>
            <w:pPr>
              <w:adjustRightInd w:val="0"/>
              <w:snapToGrid w:val="0"/>
              <w:jc w:val="center"/>
              <w:rPr>
                <w:szCs w:val="21"/>
              </w:rPr>
            </w:pPr>
            <w:r>
              <w:rPr>
                <w:rFonts w:hint="eastAsia"/>
                <w:szCs w:val="21"/>
              </w:rPr>
              <w:t>-</w:t>
            </w:r>
          </w:p>
        </w:tc>
        <w:tc>
          <w:tcPr>
            <w:tcW w:w="1984" w:type="dxa"/>
            <w:noWrap w:val="0"/>
            <w:vAlign w:val="center"/>
          </w:tcPr>
          <w:p>
            <w:pPr>
              <w:adjustRightInd w:val="0"/>
              <w:snapToGrid w:val="0"/>
              <w:jc w:val="center"/>
              <w:rPr>
                <w:szCs w:val="21"/>
              </w:rPr>
            </w:pPr>
            <w:r>
              <w:rPr>
                <w:rFonts w:hint="eastAsia"/>
                <w:szCs w:val="21"/>
              </w:rPr>
              <w:t>2</w:t>
            </w:r>
            <w:r>
              <w:rPr>
                <w:szCs w:val="21"/>
              </w:rPr>
              <w:t>.0</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4</w:t>
            </w:r>
          </w:p>
        </w:tc>
        <w:tc>
          <w:tcPr>
            <w:tcW w:w="1984" w:type="dxa"/>
            <w:noWrap w:val="0"/>
            <w:vAlign w:val="center"/>
          </w:tcPr>
          <w:p>
            <w:pPr>
              <w:adjustRightInd w:val="0"/>
              <w:snapToGrid w:val="0"/>
              <w:jc w:val="center"/>
              <w:rPr>
                <w:szCs w:val="21"/>
              </w:rPr>
            </w:pPr>
            <w:r>
              <w:rPr>
                <w:szCs w:val="21"/>
              </w:rPr>
              <w:t>左侧路缘带宽度</w:t>
            </w:r>
          </w:p>
        </w:tc>
        <w:tc>
          <w:tcPr>
            <w:tcW w:w="709" w:type="dxa"/>
            <w:noWrap w:val="0"/>
            <w:vAlign w:val="center"/>
          </w:tcPr>
          <w:p>
            <w:pPr>
              <w:adjustRightInd w:val="0"/>
              <w:snapToGrid w:val="0"/>
              <w:jc w:val="center"/>
              <w:rPr>
                <w:szCs w:val="21"/>
              </w:rPr>
            </w:pPr>
            <w:r>
              <w:rPr>
                <w:rFonts w:hint="eastAsia"/>
                <w:szCs w:val="21"/>
              </w:rPr>
              <w:t>m</w:t>
            </w:r>
          </w:p>
        </w:tc>
        <w:tc>
          <w:tcPr>
            <w:tcW w:w="1985" w:type="dxa"/>
            <w:noWrap w:val="0"/>
            <w:vAlign w:val="center"/>
          </w:tcPr>
          <w:p>
            <w:pPr>
              <w:adjustRightInd w:val="0"/>
              <w:snapToGrid w:val="0"/>
              <w:jc w:val="center"/>
              <w:rPr>
                <w:szCs w:val="21"/>
              </w:rPr>
            </w:pPr>
            <w:r>
              <w:rPr>
                <w:szCs w:val="21"/>
              </w:rPr>
              <w:t>2×0.75</w:t>
            </w:r>
          </w:p>
        </w:tc>
        <w:tc>
          <w:tcPr>
            <w:tcW w:w="1984" w:type="dxa"/>
            <w:noWrap w:val="0"/>
            <w:vAlign w:val="center"/>
          </w:tcPr>
          <w:p>
            <w:pPr>
              <w:adjustRightInd w:val="0"/>
              <w:snapToGrid w:val="0"/>
              <w:jc w:val="center"/>
              <w:rPr>
                <w:szCs w:val="21"/>
              </w:rPr>
            </w:pPr>
            <w:r>
              <w:rPr>
                <w:szCs w:val="21"/>
              </w:rPr>
              <w:t>2×0.75</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5</w:t>
            </w:r>
          </w:p>
        </w:tc>
        <w:tc>
          <w:tcPr>
            <w:tcW w:w="1984" w:type="dxa"/>
            <w:noWrap w:val="0"/>
            <w:vAlign w:val="center"/>
          </w:tcPr>
          <w:p>
            <w:pPr>
              <w:adjustRightInd w:val="0"/>
              <w:snapToGrid w:val="0"/>
              <w:jc w:val="center"/>
              <w:rPr>
                <w:szCs w:val="21"/>
              </w:rPr>
            </w:pPr>
            <w:r>
              <w:rPr>
                <w:szCs w:val="21"/>
              </w:rPr>
              <w:t>硬路肩宽度</w:t>
            </w:r>
          </w:p>
        </w:tc>
        <w:tc>
          <w:tcPr>
            <w:tcW w:w="709" w:type="dxa"/>
            <w:noWrap w:val="0"/>
            <w:vAlign w:val="center"/>
          </w:tcPr>
          <w:p>
            <w:pPr>
              <w:adjustRightInd w:val="0"/>
              <w:snapToGrid w:val="0"/>
              <w:jc w:val="center"/>
              <w:rPr>
                <w:szCs w:val="21"/>
              </w:rPr>
            </w:pPr>
            <w:r>
              <w:rPr>
                <w:rFonts w:hint="eastAsia"/>
                <w:szCs w:val="21"/>
              </w:rPr>
              <w:t>m</w:t>
            </w:r>
          </w:p>
        </w:tc>
        <w:tc>
          <w:tcPr>
            <w:tcW w:w="1985" w:type="dxa"/>
            <w:noWrap w:val="0"/>
            <w:vAlign w:val="center"/>
          </w:tcPr>
          <w:p>
            <w:pPr>
              <w:adjustRightInd w:val="0"/>
              <w:snapToGrid w:val="0"/>
              <w:jc w:val="center"/>
              <w:rPr>
                <w:szCs w:val="21"/>
              </w:rPr>
            </w:pPr>
            <w:r>
              <w:rPr>
                <w:szCs w:val="21"/>
              </w:rPr>
              <w:t>2×3.</w:t>
            </w:r>
            <w:r>
              <w:rPr>
                <w:rFonts w:hint="eastAsia"/>
                <w:szCs w:val="21"/>
              </w:rPr>
              <w:t>00</w:t>
            </w:r>
          </w:p>
        </w:tc>
        <w:tc>
          <w:tcPr>
            <w:tcW w:w="1984" w:type="dxa"/>
            <w:noWrap w:val="0"/>
            <w:vAlign w:val="center"/>
          </w:tcPr>
          <w:p>
            <w:pPr>
              <w:adjustRightInd w:val="0"/>
              <w:snapToGrid w:val="0"/>
              <w:jc w:val="center"/>
              <w:rPr>
                <w:szCs w:val="21"/>
              </w:rPr>
            </w:pPr>
            <w:r>
              <w:rPr>
                <w:szCs w:val="21"/>
              </w:rPr>
              <w:t>2×3.</w:t>
            </w:r>
            <w:r>
              <w:rPr>
                <w:rFonts w:hint="eastAsia"/>
                <w:szCs w:val="21"/>
              </w:rPr>
              <w:t>00</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6</w:t>
            </w:r>
          </w:p>
        </w:tc>
        <w:tc>
          <w:tcPr>
            <w:tcW w:w="1984" w:type="dxa"/>
            <w:noWrap w:val="0"/>
            <w:vAlign w:val="center"/>
          </w:tcPr>
          <w:p>
            <w:pPr>
              <w:adjustRightInd w:val="0"/>
              <w:snapToGrid w:val="0"/>
              <w:jc w:val="center"/>
              <w:rPr>
                <w:szCs w:val="21"/>
              </w:rPr>
            </w:pPr>
            <w:r>
              <w:rPr>
                <w:szCs w:val="21"/>
              </w:rPr>
              <w:t>土路肩宽度</w:t>
            </w:r>
          </w:p>
        </w:tc>
        <w:tc>
          <w:tcPr>
            <w:tcW w:w="709" w:type="dxa"/>
            <w:noWrap w:val="0"/>
            <w:vAlign w:val="center"/>
          </w:tcPr>
          <w:p>
            <w:pPr>
              <w:adjustRightInd w:val="0"/>
              <w:snapToGrid w:val="0"/>
              <w:jc w:val="center"/>
              <w:rPr>
                <w:szCs w:val="21"/>
              </w:rPr>
            </w:pPr>
            <w:r>
              <w:rPr>
                <w:rFonts w:hint="eastAsia"/>
                <w:szCs w:val="21"/>
              </w:rPr>
              <w:t>m</w:t>
            </w:r>
          </w:p>
        </w:tc>
        <w:tc>
          <w:tcPr>
            <w:tcW w:w="1985" w:type="dxa"/>
            <w:noWrap w:val="0"/>
            <w:vAlign w:val="center"/>
          </w:tcPr>
          <w:p>
            <w:pPr>
              <w:adjustRightInd w:val="0"/>
              <w:snapToGrid w:val="0"/>
              <w:jc w:val="center"/>
              <w:rPr>
                <w:szCs w:val="21"/>
              </w:rPr>
            </w:pPr>
            <w:r>
              <w:rPr>
                <w:szCs w:val="21"/>
              </w:rPr>
              <w:t>2×0.75</w:t>
            </w:r>
          </w:p>
        </w:tc>
        <w:tc>
          <w:tcPr>
            <w:tcW w:w="1984" w:type="dxa"/>
            <w:noWrap w:val="0"/>
            <w:vAlign w:val="center"/>
          </w:tcPr>
          <w:p>
            <w:pPr>
              <w:adjustRightInd w:val="0"/>
              <w:snapToGrid w:val="0"/>
              <w:jc w:val="center"/>
              <w:rPr>
                <w:szCs w:val="21"/>
              </w:rPr>
            </w:pPr>
            <w:r>
              <w:rPr>
                <w:szCs w:val="21"/>
              </w:rPr>
              <w:t>2×0.75</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7</w:t>
            </w:r>
          </w:p>
        </w:tc>
        <w:tc>
          <w:tcPr>
            <w:tcW w:w="1984" w:type="dxa"/>
            <w:noWrap w:val="0"/>
            <w:vAlign w:val="center"/>
          </w:tcPr>
          <w:p>
            <w:pPr>
              <w:adjustRightInd w:val="0"/>
              <w:snapToGrid w:val="0"/>
              <w:jc w:val="center"/>
              <w:rPr>
                <w:szCs w:val="21"/>
              </w:rPr>
            </w:pPr>
            <w:r>
              <w:rPr>
                <w:szCs w:val="21"/>
              </w:rPr>
              <w:t>路基设计洪水</w:t>
            </w:r>
            <w:r>
              <w:rPr>
                <w:rFonts w:hint="eastAsia"/>
                <w:szCs w:val="21"/>
              </w:rPr>
              <w:t>频</w:t>
            </w:r>
            <w:r>
              <w:rPr>
                <w:szCs w:val="21"/>
              </w:rPr>
              <w:t>率</w:t>
            </w:r>
          </w:p>
        </w:tc>
        <w:tc>
          <w:tcPr>
            <w:tcW w:w="709" w:type="dxa"/>
            <w:noWrap w:val="0"/>
            <w:vAlign w:val="center"/>
          </w:tcPr>
          <w:p>
            <w:pPr>
              <w:adjustRightInd w:val="0"/>
              <w:snapToGrid w:val="0"/>
              <w:jc w:val="center"/>
              <w:rPr>
                <w:szCs w:val="21"/>
              </w:rPr>
            </w:pPr>
          </w:p>
        </w:tc>
        <w:tc>
          <w:tcPr>
            <w:tcW w:w="1985" w:type="dxa"/>
            <w:noWrap w:val="0"/>
            <w:vAlign w:val="center"/>
          </w:tcPr>
          <w:p>
            <w:pPr>
              <w:adjustRightInd w:val="0"/>
              <w:snapToGrid w:val="0"/>
              <w:jc w:val="center"/>
              <w:rPr>
                <w:szCs w:val="21"/>
              </w:rPr>
            </w:pPr>
            <w:r>
              <w:rPr>
                <w:szCs w:val="21"/>
              </w:rPr>
              <w:t>1/100</w:t>
            </w:r>
          </w:p>
        </w:tc>
        <w:tc>
          <w:tcPr>
            <w:tcW w:w="1984" w:type="dxa"/>
            <w:noWrap w:val="0"/>
            <w:vAlign w:val="center"/>
          </w:tcPr>
          <w:p>
            <w:pPr>
              <w:adjustRightInd w:val="0"/>
              <w:snapToGrid w:val="0"/>
              <w:jc w:val="center"/>
              <w:rPr>
                <w:szCs w:val="21"/>
              </w:rPr>
            </w:pPr>
            <w:r>
              <w:rPr>
                <w:szCs w:val="21"/>
              </w:rPr>
              <w:t>1/100</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r>
              <w:rPr>
                <w:szCs w:val="21"/>
              </w:rPr>
              <w:t>三</w:t>
            </w:r>
          </w:p>
        </w:tc>
        <w:tc>
          <w:tcPr>
            <w:tcW w:w="533" w:type="dxa"/>
            <w:noWrap w:val="0"/>
            <w:vAlign w:val="center"/>
          </w:tcPr>
          <w:p>
            <w:pPr>
              <w:adjustRightInd w:val="0"/>
              <w:snapToGrid w:val="0"/>
              <w:jc w:val="center"/>
              <w:rPr>
                <w:szCs w:val="21"/>
              </w:rPr>
            </w:pPr>
          </w:p>
        </w:tc>
        <w:tc>
          <w:tcPr>
            <w:tcW w:w="1984" w:type="dxa"/>
            <w:noWrap w:val="0"/>
            <w:vAlign w:val="center"/>
          </w:tcPr>
          <w:p>
            <w:pPr>
              <w:adjustRightInd w:val="0"/>
              <w:snapToGrid w:val="0"/>
              <w:jc w:val="center"/>
              <w:rPr>
                <w:szCs w:val="21"/>
              </w:rPr>
            </w:pPr>
            <w:r>
              <w:rPr>
                <w:szCs w:val="21"/>
              </w:rPr>
              <w:t>路线指标</w:t>
            </w:r>
          </w:p>
        </w:tc>
        <w:tc>
          <w:tcPr>
            <w:tcW w:w="709" w:type="dxa"/>
            <w:noWrap w:val="0"/>
            <w:vAlign w:val="center"/>
          </w:tcPr>
          <w:p>
            <w:pPr>
              <w:adjustRightInd w:val="0"/>
              <w:snapToGrid w:val="0"/>
              <w:jc w:val="center"/>
              <w:rPr>
                <w:szCs w:val="21"/>
              </w:rPr>
            </w:pPr>
          </w:p>
        </w:tc>
        <w:tc>
          <w:tcPr>
            <w:tcW w:w="1985" w:type="dxa"/>
            <w:noWrap w:val="0"/>
            <w:vAlign w:val="center"/>
          </w:tcPr>
          <w:p>
            <w:pPr>
              <w:adjustRightInd w:val="0"/>
              <w:snapToGrid w:val="0"/>
              <w:jc w:val="center"/>
              <w:rPr>
                <w:szCs w:val="21"/>
              </w:rPr>
            </w:pPr>
          </w:p>
        </w:tc>
        <w:tc>
          <w:tcPr>
            <w:tcW w:w="1984" w:type="dxa"/>
            <w:noWrap w:val="0"/>
            <w:vAlign w:val="center"/>
          </w:tcPr>
          <w:p>
            <w:pPr>
              <w:adjustRightInd w:val="0"/>
              <w:snapToGrid w:val="0"/>
              <w:jc w:val="center"/>
              <w:rPr>
                <w:szCs w:val="21"/>
              </w:rPr>
            </w:pP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1</w:t>
            </w:r>
          </w:p>
        </w:tc>
        <w:tc>
          <w:tcPr>
            <w:tcW w:w="1984" w:type="dxa"/>
            <w:noWrap w:val="0"/>
            <w:vAlign w:val="center"/>
          </w:tcPr>
          <w:p>
            <w:pPr>
              <w:adjustRightInd w:val="0"/>
              <w:snapToGrid w:val="0"/>
              <w:jc w:val="center"/>
              <w:rPr>
                <w:szCs w:val="21"/>
              </w:rPr>
            </w:pPr>
            <w:r>
              <w:rPr>
                <w:rFonts w:hint="eastAsia"/>
                <w:szCs w:val="21"/>
              </w:rPr>
              <w:t>圆曲线最小半径</w:t>
            </w:r>
          </w:p>
        </w:tc>
        <w:tc>
          <w:tcPr>
            <w:tcW w:w="709" w:type="dxa"/>
            <w:noWrap w:val="0"/>
            <w:vAlign w:val="center"/>
          </w:tcPr>
          <w:p>
            <w:pPr>
              <w:adjustRightInd w:val="0"/>
              <w:snapToGrid w:val="0"/>
              <w:jc w:val="center"/>
              <w:rPr>
                <w:szCs w:val="21"/>
              </w:rPr>
            </w:pPr>
            <w:r>
              <w:rPr>
                <w:rFonts w:hint="eastAsia"/>
                <w:szCs w:val="21"/>
              </w:rPr>
              <w:t>m</w:t>
            </w:r>
          </w:p>
        </w:tc>
        <w:tc>
          <w:tcPr>
            <w:tcW w:w="1985" w:type="dxa"/>
            <w:noWrap w:val="0"/>
            <w:vAlign w:val="center"/>
          </w:tcPr>
          <w:p>
            <w:pPr>
              <w:adjustRightInd w:val="0"/>
              <w:snapToGrid w:val="0"/>
              <w:jc w:val="center"/>
              <w:rPr>
                <w:szCs w:val="21"/>
              </w:rPr>
            </w:pPr>
            <w:r>
              <w:rPr>
                <w:rFonts w:hint="eastAsia"/>
                <w:szCs w:val="21"/>
              </w:rPr>
              <w:t>1000/650</w:t>
            </w:r>
          </w:p>
          <w:p>
            <w:pPr>
              <w:adjustRightInd w:val="0"/>
              <w:snapToGrid w:val="0"/>
              <w:jc w:val="center"/>
              <w:rPr>
                <w:szCs w:val="21"/>
              </w:rPr>
            </w:pPr>
            <w:r>
              <w:rPr>
                <w:rFonts w:hint="eastAsia"/>
                <w:szCs w:val="21"/>
              </w:rPr>
              <w:t>（一般值/极限值）</w:t>
            </w:r>
          </w:p>
        </w:tc>
        <w:tc>
          <w:tcPr>
            <w:tcW w:w="1984" w:type="dxa"/>
            <w:noWrap w:val="0"/>
            <w:vAlign w:val="center"/>
          </w:tcPr>
          <w:p>
            <w:pPr>
              <w:adjustRightInd w:val="0"/>
              <w:snapToGrid w:val="0"/>
              <w:jc w:val="center"/>
              <w:rPr>
                <w:szCs w:val="21"/>
              </w:rPr>
            </w:pPr>
            <w:r>
              <w:rPr>
                <w:rFonts w:hint="eastAsia"/>
                <w:szCs w:val="21"/>
              </w:rPr>
              <w:t>2000</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2</w:t>
            </w:r>
          </w:p>
        </w:tc>
        <w:tc>
          <w:tcPr>
            <w:tcW w:w="1984" w:type="dxa"/>
            <w:noWrap w:val="0"/>
            <w:vAlign w:val="center"/>
          </w:tcPr>
          <w:p>
            <w:pPr>
              <w:adjustRightInd w:val="0"/>
              <w:snapToGrid w:val="0"/>
              <w:jc w:val="center"/>
              <w:rPr>
                <w:szCs w:val="21"/>
              </w:rPr>
            </w:pPr>
            <w:r>
              <w:rPr>
                <w:szCs w:val="21"/>
              </w:rPr>
              <w:t>最大纵坡</w:t>
            </w:r>
          </w:p>
        </w:tc>
        <w:tc>
          <w:tcPr>
            <w:tcW w:w="709" w:type="dxa"/>
            <w:noWrap w:val="0"/>
            <w:vAlign w:val="center"/>
          </w:tcPr>
          <w:p>
            <w:pPr>
              <w:adjustRightInd w:val="0"/>
              <w:snapToGrid w:val="0"/>
              <w:jc w:val="center"/>
              <w:rPr>
                <w:szCs w:val="21"/>
              </w:rPr>
            </w:pPr>
            <w:r>
              <w:rPr>
                <w:szCs w:val="21"/>
              </w:rPr>
              <w:t>％</w:t>
            </w:r>
          </w:p>
        </w:tc>
        <w:tc>
          <w:tcPr>
            <w:tcW w:w="1985" w:type="dxa"/>
            <w:noWrap w:val="0"/>
            <w:vAlign w:val="center"/>
          </w:tcPr>
          <w:p>
            <w:pPr>
              <w:adjustRightInd w:val="0"/>
              <w:snapToGrid w:val="0"/>
              <w:jc w:val="center"/>
              <w:rPr>
                <w:szCs w:val="21"/>
              </w:rPr>
            </w:pPr>
            <w:r>
              <w:rPr>
                <w:rFonts w:hint="eastAsia"/>
                <w:szCs w:val="21"/>
              </w:rPr>
              <w:t>3</w:t>
            </w:r>
          </w:p>
        </w:tc>
        <w:tc>
          <w:tcPr>
            <w:tcW w:w="1984" w:type="dxa"/>
            <w:noWrap w:val="0"/>
            <w:vAlign w:val="center"/>
          </w:tcPr>
          <w:p>
            <w:pPr>
              <w:adjustRightInd w:val="0"/>
              <w:snapToGrid w:val="0"/>
              <w:jc w:val="center"/>
              <w:rPr>
                <w:szCs w:val="21"/>
              </w:rPr>
            </w:pPr>
            <w:r>
              <w:rPr>
                <w:rFonts w:hint="eastAsia"/>
                <w:szCs w:val="21"/>
              </w:rPr>
              <w:t>1.9</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3</w:t>
            </w:r>
          </w:p>
        </w:tc>
        <w:tc>
          <w:tcPr>
            <w:tcW w:w="1984" w:type="dxa"/>
            <w:noWrap w:val="0"/>
            <w:vAlign w:val="center"/>
          </w:tcPr>
          <w:p>
            <w:pPr>
              <w:adjustRightInd w:val="0"/>
              <w:snapToGrid w:val="0"/>
              <w:jc w:val="center"/>
              <w:rPr>
                <w:szCs w:val="21"/>
              </w:rPr>
            </w:pPr>
            <w:r>
              <w:rPr>
                <w:szCs w:val="21"/>
              </w:rPr>
              <w:t>最大坡长</w:t>
            </w:r>
          </w:p>
        </w:tc>
        <w:tc>
          <w:tcPr>
            <w:tcW w:w="709" w:type="dxa"/>
            <w:noWrap w:val="0"/>
            <w:vAlign w:val="center"/>
          </w:tcPr>
          <w:p>
            <w:pPr>
              <w:adjustRightInd w:val="0"/>
              <w:snapToGrid w:val="0"/>
              <w:jc w:val="center"/>
              <w:rPr>
                <w:szCs w:val="21"/>
              </w:rPr>
            </w:pPr>
            <w:r>
              <w:rPr>
                <w:rFonts w:hint="eastAsia"/>
                <w:szCs w:val="21"/>
              </w:rPr>
              <w:t>m</w:t>
            </w:r>
          </w:p>
        </w:tc>
        <w:tc>
          <w:tcPr>
            <w:tcW w:w="1985" w:type="dxa"/>
            <w:noWrap w:val="0"/>
            <w:vAlign w:val="center"/>
          </w:tcPr>
          <w:p>
            <w:pPr>
              <w:adjustRightInd w:val="0"/>
              <w:snapToGrid w:val="0"/>
              <w:jc w:val="center"/>
              <w:rPr>
                <w:szCs w:val="21"/>
              </w:rPr>
            </w:pPr>
            <w:r>
              <w:rPr>
                <w:rFonts w:hint="eastAsia"/>
                <w:szCs w:val="21"/>
              </w:rPr>
              <w:t>900</w:t>
            </w:r>
            <w:r>
              <w:rPr>
                <w:szCs w:val="21"/>
              </w:rPr>
              <w:t>（</w:t>
            </w:r>
            <w:r>
              <w:rPr>
                <w:rFonts w:hint="eastAsia"/>
                <w:szCs w:val="21"/>
              </w:rPr>
              <w:t>3</w:t>
            </w:r>
            <w:r>
              <w:rPr>
                <w:szCs w:val="21"/>
              </w:rPr>
              <w:t>%）</w:t>
            </w:r>
          </w:p>
        </w:tc>
        <w:tc>
          <w:tcPr>
            <w:tcW w:w="1984" w:type="dxa"/>
            <w:noWrap w:val="0"/>
            <w:vAlign w:val="center"/>
          </w:tcPr>
          <w:p>
            <w:pPr>
              <w:adjustRightInd w:val="0"/>
              <w:snapToGrid w:val="0"/>
              <w:jc w:val="center"/>
              <w:rPr>
                <w:szCs w:val="21"/>
              </w:rPr>
            </w:pPr>
            <w:r>
              <w:rPr>
                <w:rFonts w:hint="eastAsia"/>
                <w:szCs w:val="21"/>
              </w:rPr>
              <w:t>1580</w:t>
            </w:r>
            <w:r>
              <w:rPr>
                <w:szCs w:val="21"/>
              </w:rPr>
              <w:t>（</w:t>
            </w:r>
            <w:r>
              <w:rPr>
                <w:rFonts w:hint="eastAsia"/>
                <w:szCs w:val="21"/>
              </w:rPr>
              <w:t>1.9</w:t>
            </w:r>
            <w:r>
              <w:rPr>
                <w:szCs w:val="21"/>
              </w:rPr>
              <w:t>%）</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4</w:t>
            </w:r>
          </w:p>
        </w:tc>
        <w:tc>
          <w:tcPr>
            <w:tcW w:w="1984" w:type="dxa"/>
            <w:noWrap w:val="0"/>
            <w:vAlign w:val="center"/>
          </w:tcPr>
          <w:p>
            <w:pPr>
              <w:adjustRightInd w:val="0"/>
              <w:snapToGrid w:val="0"/>
              <w:jc w:val="center"/>
              <w:rPr>
                <w:szCs w:val="21"/>
              </w:rPr>
            </w:pPr>
            <w:r>
              <w:rPr>
                <w:szCs w:val="21"/>
              </w:rPr>
              <w:t>最小坡长</w:t>
            </w:r>
          </w:p>
        </w:tc>
        <w:tc>
          <w:tcPr>
            <w:tcW w:w="709" w:type="dxa"/>
            <w:noWrap w:val="0"/>
            <w:vAlign w:val="center"/>
          </w:tcPr>
          <w:p>
            <w:pPr>
              <w:adjustRightInd w:val="0"/>
              <w:snapToGrid w:val="0"/>
              <w:jc w:val="center"/>
              <w:rPr>
                <w:szCs w:val="21"/>
              </w:rPr>
            </w:pPr>
            <w:r>
              <w:rPr>
                <w:rFonts w:hint="eastAsia"/>
                <w:szCs w:val="21"/>
              </w:rPr>
              <w:t>m</w:t>
            </w:r>
          </w:p>
        </w:tc>
        <w:tc>
          <w:tcPr>
            <w:tcW w:w="1985" w:type="dxa"/>
            <w:noWrap w:val="0"/>
            <w:vAlign w:val="center"/>
          </w:tcPr>
          <w:p>
            <w:pPr>
              <w:adjustRightInd w:val="0"/>
              <w:snapToGrid w:val="0"/>
              <w:jc w:val="center"/>
              <w:rPr>
                <w:szCs w:val="21"/>
              </w:rPr>
            </w:pPr>
            <w:r>
              <w:rPr>
                <w:rFonts w:hint="eastAsia"/>
                <w:szCs w:val="21"/>
              </w:rPr>
              <w:t>300</w:t>
            </w:r>
          </w:p>
        </w:tc>
        <w:tc>
          <w:tcPr>
            <w:tcW w:w="1984" w:type="dxa"/>
            <w:noWrap w:val="0"/>
            <w:vAlign w:val="center"/>
          </w:tcPr>
          <w:p>
            <w:pPr>
              <w:adjustRightInd w:val="0"/>
              <w:snapToGrid w:val="0"/>
              <w:jc w:val="center"/>
              <w:rPr>
                <w:szCs w:val="21"/>
              </w:rPr>
            </w:pPr>
            <w:r>
              <w:rPr>
                <w:rFonts w:hint="eastAsia"/>
                <w:szCs w:val="21"/>
              </w:rPr>
              <w:t>360</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5</w:t>
            </w:r>
          </w:p>
        </w:tc>
        <w:tc>
          <w:tcPr>
            <w:tcW w:w="1984" w:type="dxa"/>
            <w:noWrap w:val="0"/>
            <w:vAlign w:val="center"/>
          </w:tcPr>
          <w:p>
            <w:pPr>
              <w:adjustRightInd w:val="0"/>
              <w:snapToGrid w:val="0"/>
              <w:jc w:val="center"/>
              <w:rPr>
                <w:szCs w:val="21"/>
              </w:rPr>
            </w:pPr>
            <w:r>
              <w:rPr>
                <w:szCs w:val="21"/>
              </w:rPr>
              <w:t>竖曲线最小半径</w:t>
            </w:r>
          </w:p>
        </w:tc>
        <w:tc>
          <w:tcPr>
            <w:tcW w:w="709" w:type="dxa"/>
            <w:noWrap w:val="0"/>
            <w:vAlign w:val="center"/>
          </w:tcPr>
          <w:p>
            <w:pPr>
              <w:adjustRightInd w:val="0"/>
              <w:snapToGrid w:val="0"/>
              <w:jc w:val="center"/>
              <w:rPr>
                <w:szCs w:val="21"/>
              </w:rPr>
            </w:pPr>
            <w:r>
              <w:rPr>
                <w:rFonts w:hint="eastAsia"/>
                <w:szCs w:val="21"/>
              </w:rPr>
              <w:t>m</w:t>
            </w:r>
          </w:p>
        </w:tc>
        <w:tc>
          <w:tcPr>
            <w:tcW w:w="1985" w:type="dxa"/>
            <w:noWrap w:val="0"/>
            <w:vAlign w:val="center"/>
          </w:tcPr>
          <w:p>
            <w:pPr>
              <w:adjustRightInd w:val="0"/>
              <w:snapToGrid w:val="0"/>
              <w:jc w:val="center"/>
              <w:rPr>
                <w:szCs w:val="21"/>
              </w:rPr>
            </w:pPr>
            <w:r>
              <w:rPr>
                <w:rFonts w:hint="eastAsia"/>
                <w:szCs w:val="21"/>
              </w:rPr>
              <w:t>17000/6000</w:t>
            </w:r>
          </w:p>
          <w:p>
            <w:pPr>
              <w:adjustRightInd w:val="0"/>
              <w:snapToGrid w:val="0"/>
              <w:jc w:val="center"/>
              <w:rPr>
                <w:szCs w:val="21"/>
              </w:rPr>
            </w:pPr>
            <w:r>
              <w:rPr>
                <w:rFonts w:hint="eastAsia"/>
                <w:szCs w:val="21"/>
              </w:rPr>
              <w:t>（一般值）</w:t>
            </w:r>
          </w:p>
        </w:tc>
        <w:tc>
          <w:tcPr>
            <w:tcW w:w="1984" w:type="dxa"/>
            <w:noWrap w:val="0"/>
            <w:vAlign w:val="center"/>
          </w:tcPr>
          <w:p>
            <w:pPr>
              <w:adjustRightInd w:val="0"/>
              <w:snapToGrid w:val="0"/>
              <w:jc w:val="center"/>
              <w:rPr>
                <w:rFonts w:hint="eastAsia"/>
                <w:szCs w:val="21"/>
              </w:rPr>
            </w:pPr>
            <w:r>
              <w:rPr>
                <w:rFonts w:hint="eastAsia"/>
                <w:szCs w:val="21"/>
              </w:rPr>
              <w:t>20000/12000</w:t>
            </w:r>
          </w:p>
        </w:tc>
        <w:tc>
          <w:tcPr>
            <w:tcW w:w="1134" w:type="dxa"/>
            <w:noWrap w:val="0"/>
            <w:vAlign w:val="center"/>
          </w:tcPr>
          <w:p>
            <w:pPr>
              <w:adjustRightInd w:val="0"/>
              <w:snapToGrid w:val="0"/>
              <w:jc w:val="center"/>
              <w:rPr>
                <w:szCs w:val="21"/>
              </w:rPr>
            </w:pPr>
            <w:r>
              <w:rPr>
                <w:rFonts w:hint="eastAsia"/>
                <w:szCs w:val="21"/>
              </w:rPr>
              <w:t>凸／凹</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r>
              <w:rPr>
                <w:szCs w:val="21"/>
              </w:rPr>
              <w:t>四</w:t>
            </w:r>
          </w:p>
        </w:tc>
        <w:tc>
          <w:tcPr>
            <w:tcW w:w="533" w:type="dxa"/>
            <w:noWrap w:val="0"/>
            <w:vAlign w:val="center"/>
          </w:tcPr>
          <w:p>
            <w:pPr>
              <w:adjustRightInd w:val="0"/>
              <w:snapToGrid w:val="0"/>
              <w:jc w:val="center"/>
              <w:rPr>
                <w:szCs w:val="21"/>
              </w:rPr>
            </w:pPr>
          </w:p>
        </w:tc>
        <w:tc>
          <w:tcPr>
            <w:tcW w:w="1984" w:type="dxa"/>
            <w:noWrap w:val="0"/>
            <w:vAlign w:val="center"/>
          </w:tcPr>
          <w:p>
            <w:pPr>
              <w:adjustRightInd w:val="0"/>
              <w:snapToGrid w:val="0"/>
              <w:jc w:val="center"/>
              <w:rPr>
                <w:szCs w:val="21"/>
              </w:rPr>
            </w:pPr>
            <w:r>
              <w:rPr>
                <w:szCs w:val="21"/>
              </w:rPr>
              <w:t>桥梁指标</w:t>
            </w:r>
          </w:p>
        </w:tc>
        <w:tc>
          <w:tcPr>
            <w:tcW w:w="709" w:type="dxa"/>
            <w:noWrap w:val="0"/>
            <w:vAlign w:val="center"/>
          </w:tcPr>
          <w:p>
            <w:pPr>
              <w:adjustRightInd w:val="0"/>
              <w:snapToGrid w:val="0"/>
              <w:jc w:val="center"/>
              <w:rPr>
                <w:szCs w:val="21"/>
              </w:rPr>
            </w:pPr>
          </w:p>
        </w:tc>
        <w:tc>
          <w:tcPr>
            <w:tcW w:w="1985" w:type="dxa"/>
            <w:noWrap w:val="0"/>
            <w:vAlign w:val="center"/>
          </w:tcPr>
          <w:p>
            <w:pPr>
              <w:adjustRightInd w:val="0"/>
              <w:snapToGrid w:val="0"/>
              <w:jc w:val="center"/>
              <w:rPr>
                <w:szCs w:val="21"/>
              </w:rPr>
            </w:pPr>
          </w:p>
        </w:tc>
        <w:tc>
          <w:tcPr>
            <w:tcW w:w="1984" w:type="dxa"/>
            <w:noWrap w:val="0"/>
            <w:vAlign w:val="center"/>
          </w:tcPr>
          <w:p>
            <w:pPr>
              <w:adjustRightInd w:val="0"/>
              <w:snapToGrid w:val="0"/>
              <w:jc w:val="center"/>
              <w:rPr>
                <w:szCs w:val="21"/>
              </w:rPr>
            </w:pP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1</w:t>
            </w:r>
          </w:p>
        </w:tc>
        <w:tc>
          <w:tcPr>
            <w:tcW w:w="1984" w:type="dxa"/>
            <w:noWrap w:val="0"/>
            <w:vAlign w:val="center"/>
          </w:tcPr>
          <w:p>
            <w:pPr>
              <w:adjustRightInd w:val="0"/>
              <w:snapToGrid w:val="0"/>
              <w:jc w:val="center"/>
              <w:rPr>
                <w:szCs w:val="21"/>
              </w:rPr>
            </w:pPr>
            <w:r>
              <w:rPr>
                <w:szCs w:val="21"/>
              </w:rPr>
              <w:t>桥面总宽</w:t>
            </w:r>
          </w:p>
        </w:tc>
        <w:tc>
          <w:tcPr>
            <w:tcW w:w="709" w:type="dxa"/>
            <w:noWrap w:val="0"/>
            <w:vAlign w:val="center"/>
          </w:tcPr>
          <w:p>
            <w:pPr>
              <w:adjustRightInd w:val="0"/>
              <w:snapToGrid w:val="0"/>
              <w:jc w:val="center"/>
              <w:rPr>
                <w:szCs w:val="21"/>
              </w:rPr>
            </w:pPr>
            <w:r>
              <w:rPr>
                <w:rFonts w:hint="eastAsia"/>
                <w:szCs w:val="21"/>
              </w:rPr>
              <w:t>m</w:t>
            </w:r>
          </w:p>
        </w:tc>
        <w:tc>
          <w:tcPr>
            <w:tcW w:w="1985" w:type="dxa"/>
            <w:noWrap w:val="0"/>
            <w:vAlign w:val="center"/>
          </w:tcPr>
          <w:p>
            <w:pPr>
              <w:adjustRightInd w:val="0"/>
              <w:snapToGrid w:val="0"/>
              <w:jc w:val="center"/>
              <w:rPr>
                <w:szCs w:val="21"/>
              </w:rPr>
            </w:pPr>
            <w:r>
              <w:rPr>
                <w:szCs w:val="21"/>
              </w:rPr>
              <w:t>-</w:t>
            </w:r>
          </w:p>
        </w:tc>
        <w:tc>
          <w:tcPr>
            <w:tcW w:w="1984" w:type="dxa"/>
            <w:noWrap w:val="0"/>
            <w:vAlign w:val="center"/>
          </w:tcPr>
          <w:p>
            <w:pPr>
              <w:adjustRightInd w:val="0"/>
              <w:snapToGrid w:val="0"/>
              <w:jc w:val="center"/>
              <w:rPr>
                <w:szCs w:val="21"/>
              </w:rPr>
            </w:pPr>
            <w:r>
              <w:rPr>
                <w:szCs w:val="21"/>
              </w:rPr>
              <w:t>2×12.</w:t>
            </w:r>
            <w:r>
              <w:rPr>
                <w:rFonts w:hint="eastAsia"/>
                <w:szCs w:val="21"/>
              </w:rPr>
              <w:t>81</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2</w:t>
            </w:r>
          </w:p>
        </w:tc>
        <w:tc>
          <w:tcPr>
            <w:tcW w:w="1984" w:type="dxa"/>
            <w:noWrap w:val="0"/>
            <w:vAlign w:val="center"/>
          </w:tcPr>
          <w:p>
            <w:pPr>
              <w:adjustRightInd w:val="0"/>
              <w:snapToGrid w:val="0"/>
              <w:jc w:val="center"/>
              <w:rPr>
                <w:szCs w:val="21"/>
              </w:rPr>
            </w:pPr>
            <w:r>
              <w:rPr>
                <w:szCs w:val="21"/>
              </w:rPr>
              <w:t>桥面净宽</w:t>
            </w:r>
          </w:p>
        </w:tc>
        <w:tc>
          <w:tcPr>
            <w:tcW w:w="709" w:type="dxa"/>
            <w:noWrap w:val="0"/>
            <w:vAlign w:val="center"/>
          </w:tcPr>
          <w:p>
            <w:pPr>
              <w:adjustRightInd w:val="0"/>
              <w:snapToGrid w:val="0"/>
              <w:jc w:val="center"/>
              <w:rPr>
                <w:szCs w:val="21"/>
              </w:rPr>
            </w:pPr>
            <w:r>
              <w:rPr>
                <w:rFonts w:hint="eastAsia"/>
                <w:szCs w:val="21"/>
              </w:rPr>
              <w:t>m</w:t>
            </w:r>
          </w:p>
        </w:tc>
        <w:tc>
          <w:tcPr>
            <w:tcW w:w="1985" w:type="dxa"/>
            <w:noWrap w:val="0"/>
            <w:vAlign w:val="center"/>
          </w:tcPr>
          <w:p>
            <w:pPr>
              <w:adjustRightInd w:val="0"/>
              <w:snapToGrid w:val="0"/>
              <w:jc w:val="center"/>
              <w:rPr>
                <w:szCs w:val="21"/>
              </w:rPr>
            </w:pPr>
            <w:r>
              <w:rPr>
                <w:szCs w:val="21"/>
              </w:rPr>
              <w:t>-</w:t>
            </w:r>
          </w:p>
        </w:tc>
        <w:tc>
          <w:tcPr>
            <w:tcW w:w="1984" w:type="dxa"/>
            <w:noWrap w:val="0"/>
            <w:vAlign w:val="center"/>
          </w:tcPr>
          <w:p>
            <w:pPr>
              <w:adjustRightInd w:val="0"/>
              <w:snapToGrid w:val="0"/>
              <w:jc w:val="center"/>
              <w:rPr>
                <w:szCs w:val="21"/>
              </w:rPr>
            </w:pPr>
            <w:r>
              <w:rPr>
                <w:szCs w:val="21"/>
              </w:rPr>
              <w:t>2×1</w:t>
            </w:r>
            <w:r>
              <w:rPr>
                <w:rFonts w:hint="eastAsia"/>
                <w:szCs w:val="21"/>
              </w:rPr>
              <w:t>1</w:t>
            </w:r>
            <w:r>
              <w:rPr>
                <w:szCs w:val="21"/>
              </w:rPr>
              <w:t>.</w:t>
            </w:r>
            <w:r>
              <w:rPr>
                <w:rFonts w:hint="eastAsia"/>
                <w:szCs w:val="21"/>
              </w:rPr>
              <w:t>75</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3</w:t>
            </w:r>
          </w:p>
        </w:tc>
        <w:tc>
          <w:tcPr>
            <w:tcW w:w="1984" w:type="dxa"/>
            <w:noWrap w:val="0"/>
            <w:vAlign w:val="center"/>
          </w:tcPr>
          <w:p>
            <w:pPr>
              <w:adjustRightInd w:val="0"/>
              <w:snapToGrid w:val="0"/>
              <w:jc w:val="center"/>
              <w:rPr>
                <w:szCs w:val="21"/>
              </w:rPr>
            </w:pPr>
            <w:r>
              <w:rPr>
                <w:szCs w:val="21"/>
              </w:rPr>
              <w:t>桥涵设计车辆荷载</w:t>
            </w:r>
          </w:p>
        </w:tc>
        <w:tc>
          <w:tcPr>
            <w:tcW w:w="709" w:type="dxa"/>
            <w:noWrap w:val="0"/>
            <w:vAlign w:val="center"/>
          </w:tcPr>
          <w:p>
            <w:pPr>
              <w:adjustRightInd w:val="0"/>
              <w:snapToGrid w:val="0"/>
              <w:jc w:val="center"/>
              <w:rPr>
                <w:szCs w:val="21"/>
              </w:rPr>
            </w:pPr>
          </w:p>
        </w:tc>
        <w:tc>
          <w:tcPr>
            <w:tcW w:w="1985" w:type="dxa"/>
            <w:noWrap w:val="0"/>
            <w:vAlign w:val="center"/>
          </w:tcPr>
          <w:p>
            <w:pPr>
              <w:adjustRightInd w:val="0"/>
              <w:snapToGrid w:val="0"/>
              <w:jc w:val="center"/>
              <w:rPr>
                <w:szCs w:val="21"/>
              </w:rPr>
            </w:pPr>
            <w:r>
              <w:rPr>
                <w:rFonts w:hint="eastAsia"/>
                <w:szCs w:val="21"/>
              </w:rPr>
              <w:t>公路</w:t>
            </w:r>
            <w:r>
              <w:rPr>
                <w:szCs w:val="21"/>
              </w:rPr>
              <w:t>-</w:t>
            </w:r>
            <w:r>
              <w:rPr>
                <w:rFonts w:hint="eastAsia"/>
                <w:szCs w:val="21"/>
              </w:rPr>
              <w:t>I级</w:t>
            </w:r>
          </w:p>
        </w:tc>
        <w:tc>
          <w:tcPr>
            <w:tcW w:w="1984" w:type="dxa"/>
            <w:noWrap w:val="0"/>
            <w:vAlign w:val="center"/>
          </w:tcPr>
          <w:p>
            <w:pPr>
              <w:adjustRightInd w:val="0"/>
              <w:snapToGrid w:val="0"/>
              <w:jc w:val="center"/>
              <w:rPr>
                <w:szCs w:val="21"/>
              </w:rPr>
            </w:pPr>
            <w:r>
              <w:rPr>
                <w:rFonts w:hint="eastAsia"/>
                <w:szCs w:val="21"/>
              </w:rPr>
              <w:t>公路</w:t>
            </w:r>
            <w:r>
              <w:rPr>
                <w:szCs w:val="21"/>
              </w:rPr>
              <w:t>-</w:t>
            </w:r>
            <w:r>
              <w:rPr>
                <w:rFonts w:hint="eastAsia"/>
                <w:szCs w:val="21"/>
              </w:rPr>
              <w:t>I级</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vMerge w:val="restart"/>
            <w:noWrap w:val="0"/>
            <w:vAlign w:val="center"/>
          </w:tcPr>
          <w:p>
            <w:pPr>
              <w:adjustRightInd w:val="0"/>
              <w:snapToGrid w:val="0"/>
              <w:jc w:val="center"/>
              <w:rPr>
                <w:szCs w:val="21"/>
              </w:rPr>
            </w:pPr>
          </w:p>
        </w:tc>
        <w:tc>
          <w:tcPr>
            <w:tcW w:w="533" w:type="dxa"/>
            <w:vMerge w:val="restart"/>
            <w:noWrap w:val="0"/>
            <w:vAlign w:val="center"/>
          </w:tcPr>
          <w:p>
            <w:pPr>
              <w:adjustRightInd w:val="0"/>
              <w:snapToGrid w:val="0"/>
              <w:jc w:val="center"/>
              <w:rPr>
                <w:szCs w:val="21"/>
              </w:rPr>
            </w:pPr>
            <w:r>
              <w:rPr>
                <w:szCs w:val="21"/>
              </w:rPr>
              <w:t>4</w:t>
            </w:r>
          </w:p>
        </w:tc>
        <w:tc>
          <w:tcPr>
            <w:tcW w:w="1984" w:type="dxa"/>
            <w:vMerge w:val="restart"/>
            <w:noWrap w:val="0"/>
            <w:vAlign w:val="center"/>
          </w:tcPr>
          <w:p>
            <w:pPr>
              <w:adjustRightInd w:val="0"/>
              <w:snapToGrid w:val="0"/>
              <w:jc w:val="center"/>
              <w:rPr>
                <w:szCs w:val="21"/>
              </w:rPr>
            </w:pPr>
            <w:r>
              <w:rPr>
                <w:szCs w:val="21"/>
              </w:rPr>
              <w:t>桥涵设计洪水频率</w:t>
            </w:r>
          </w:p>
        </w:tc>
        <w:tc>
          <w:tcPr>
            <w:tcW w:w="709" w:type="dxa"/>
            <w:vMerge w:val="restart"/>
            <w:noWrap w:val="0"/>
            <w:vAlign w:val="center"/>
          </w:tcPr>
          <w:p>
            <w:pPr>
              <w:adjustRightInd w:val="0"/>
              <w:snapToGrid w:val="0"/>
              <w:jc w:val="center"/>
              <w:rPr>
                <w:szCs w:val="21"/>
              </w:rPr>
            </w:pPr>
          </w:p>
        </w:tc>
        <w:tc>
          <w:tcPr>
            <w:tcW w:w="1985" w:type="dxa"/>
            <w:noWrap w:val="0"/>
            <w:vAlign w:val="center"/>
          </w:tcPr>
          <w:p>
            <w:pPr>
              <w:adjustRightInd w:val="0"/>
              <w:snapToGrid w:val="0"/>
              <w:jc w:val="center"/>
              <w:rPr>
                <w:szCs w:val="21"/>
              </w:rPr>
            </w:pPr>
            <w:r>
              <w:rPr>
                <w:rFonts w:hint="eastAsia"/>
                <w:szCs w:val="21"/>
              </w:rPr>
              <w:t>1/300（特大桥）</w:t>
            </w:r>
          </w:p>
        </w:tc>
        <w:tc>
          <w:tcPr>
            <w:tcW w:w="1984" w:type="dxa"/>
            <w:noWrap w:val="0"/>
            <w:vAlign w:val="center"/>
          </w:tcPr>
          <w:p>
            <w:pPr>
              <w:adjustRightInd w:val="0"/>
              <w:snapToGrid w:val="0"/>
              <w:jc w:val="center"/>
              <w:rPr>
                <w:szCs w:val="21"/>
              </w:rPr>
            </w:pPr>
            <w:r>
              <w:rPr>
                <w:rFonts w:hint="eastAsia"/>
                <w:szCs w:val="21"/>
              </w:rPr>
              <w:t>1/300（特大桥）</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vMerge w:val="continue"/>
            <w:noWrap w:val="0"/>
            <w:vAlign w:val="center"/>
          </w:tcPr>
          <w:p>
            <w:pPr>
              <w:adjustRightInd w:val="0"/>
              <w:snapToGrid w:val="0"/>
              <w:jc w:val="center"/>
              <w:rPr>
                <w:szCs w:val="21"/>
              </w:rPr>
            </w:pPr>
          </w:p>
        </w:tc>
        <w:tc>
          <w:tcPr>
            <w:tcW w:w="533" w:type="dxa"/>
            <w:vMerge w:val="continue"/>
            <w:noWrap w:val="0"/>
            <w:vAlign w:val="center"/>
          </w:tcPr>
          <w:p>
            <w:pPr>
              <w:adjustRightInd w:val="0"/>
              <w:snapToGrid w:val="0"/>
              <w:jc w:val="center"/>
              <w:rPr>
                <w:szCs w:val="21"/>
              </w:rPr>
            </w:pPr>
          </w:p>
        </w:tc>
        <w:tc>
          <w:tcPr>
            <w:tcW w:w="1984" w:type="dxa"/>
            <w:vMerge w:val="continue"/>
            <w:noWrap w:val="0"/>
            <w:vAlign w:val="center"/>
          </w:tcPr>
          <w:p>
            <w:pPr>
              <w:adjustRightInd w:val="0"/>
              <w:snapToGrid w:val="0"/>
              <w:jc w:val="center"/>
              <w:rPr>
                <w:szCs w:val="21"/>
              </w:rPr>
            </w:pPr>
          </w:p>
        </w:tc>
        <w:tc>
          <w:tcPr>
            <w:tcW w:w="709" w:type="dxa"/>
            <w:vMerge w:val="continue"/>
            <w:noWrap w:val="0"/>
            <w:vAlign w:val="center"/>
          </w:tcPr>
          <w:p>
            <w:pPr>
              <w:adjustRightInd w:val="0"/>
              <w:snapToGrid w:val="0"/>
              <w:jc w:val="center"/>
              <w:rPr>
                <w:szCs w:val="21"/>
              </w:rPr>
            </w:pPr>
          </w:p>
        </w:tc>
        <w:tc>
          <w:tcPr>
            <w:tcW w:w="1985" w:type="dxa"/>
            <w:noWrap w:val="0"/>
            <w:vAlign w:val="center"/>
          </w:tcPr>
          <w:p>
            <w:pPr>
              <w:adjustRightInd w:val="0"/>
              <w:snapToGrid w:val="0"/>
              <w:jc w:val="center"/>
              <w:rPr>
                <w:szCs w:val="21"/>
              </w:rPr>
            </w:pPr>
            <w:r>
              <w:rPr>
                <w:rFonts w:hint="eastAsia"/>
                <w:szCs w:val="21"/>
              </w:rPr>
              <w:t>1/100（其他桥涵）</w:t>
            </w:r>
          </w:p>
        </w:tc>
        <w:tc>
          <w:tcPr>
            <w:tcW w:w="1984" w:type="dxa"/>
            <w:noWrap w:val="0"/>
            <w:vAlign w:val="center"/>
          </w:tcPr>
          <w:p>
            <w:pPr>
              <w:adjustRightInd w:val="0"/>
              <w:snapToGrid w:val="0"/>
              <w:jc w:val="center"/>
              <w:rPr>
                <w:szCs w:val="21"/>
              </w:rPr>
            </w:pPr>
            <w:r>
              <w:rPr>
                <w:rFonts w:hint="eastAsia"/>
                <w:szCs w:val="21"/>
              </w:rPr>
              <w:t>1/100（其他桥涵）</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r>
              <w:rPr>
                <w:szCs w:val="21"/>
              </w:rPr>
              <w:t>五</w:t>
            </w:r>
          </w:p>
        </w:tc>
        <w:tc>
          <w:tcPr>
            <w:tcW w:w="533" w:type="dxa"/>
            <w:noWrap w:val="0"/>
            <w:vAlign w:val="center"/>
          </w:tcPr>
          <w:p>
            <w:pPr>
              <w:adjustRightInd w:val="0"/>
              <w:snapToGrid w:val="0"/>
              <w:jc w:val="center"/>
              <w:rPr>
                <w:szCs w:val="21"/>
              </w:rPr>
            </w:pPr>
          </w:p>
        </w:tc>
        <w:tc>
          <w:tcPr>
            <w:tcW w:w="1984" w:type="dxa"/>
            <w:noWrap w:val="0"/>
            <w:vAlign w:val="center"/>
          </w:tcPr>
          <w:p>
            <w:pPr>
              <w:adjustRightInd w:val="0"/>
              <w:snapToGrid w:val="0"/>
              <w:jc w:val="center"/>
              <w:rPr>
                <w:szCs w:val="21"/>
              </w:rPr>
            </w:pPr>
            <w:r>
              <w:rPr>
                <w:szCs w:val="21"/>
              </w:rPr>
              <w:t>路面指标</w:t>
            </w:r>
          </w:p>
        </w:tc>
        <w:tc>
          <w:tcPr>
            <w:tcW w:w="709" w:type="dxa"/>
            <w:noWrap w:val="0"/>
            <w:vAlign w:val="center"/>
          </w:tcPr>
          <w:p>
            <w:pPr>
              <w:adjustRightInd w:val="0"/>
              <w:snapToGrid w:val="0"/>
              <w:jc w:val="center"/>
              <w:rPr>
                <w:szCs w:val="21"/>
              </w:rPr>
            </w:pPr>
          </w:p>
        </w:tc>
        <w:tc>
          <w:tcPr>
            <w:tcW w:w="1985" w:type="dxa"/>
            <w:noWrap w:val="0"/>
            <w:vAlign w:val="center"/>
          </w:tcPr>
          <w:p>
            <w:pPr>
              <w:adjustRightInd w:val="0"/>
              <w:snapToGrid w:val="0"/>
              <w:jc w:val="center"/>
              <w:rPr>
                <w:szCs w:val="21"/>
              </w:rPr>
            </w:pPr>
          </w:p>
        </w:tc>
        <w:tc>
          <w:tcPr>
            <w:tcW w:w="1984" w:type="dxa"/>
            <w:noWrap w:val="0"/>
            <w:vAlign w:val="center"/>
          </w:tcPr>
          <w:p>
            <w:pPr>
              <w:adjustRightInd w:val="0"/>
              <w:snapToGrid w:val="0"/>
              <w:jc w:val="center"/>
              <w:rPr>
                <w:szCs w:val="21"/>
              </w:rPr>
            </w:pP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1</w:t>
            </w:r>
          </w:p>
        </w:tc>
        <w:tc>
          <w:tcPr>
            <w:tcW w:w="1984" w:type="dxa"/>
            <w:noWrap w:val="0"/>
            <w:vAlign w:val="center"/>
          </w:tcPr>
          <w:p>
            <w:pPr>
              <w:adjustRightInd w:val="0"/>
              <w:snapToGrid w:val="0"/>
              <w:jc w:val="center"/>
              <w:rPr>
                <w:szCs w:val="21"/>
              </w:rPr>
            </w:pPr>
            <w:r>
              <w:rPr>
                <w:szCs w:val="21"/>
              </w:rPr>
              <w:t>路面面层类型</w:t>
            </w:r>
          </w:p>
        </w:tc>
        <w:tc>
          <w:tcPr>
            <w:tcW w:w="709" w:type="dxa"/>
            <w:noWrap w:val="0"/>
            <w:vAlign w:val="center"/>
          </w:tcPr>
          <w:p>
            <w:pPr>
              <w:adjustRightInd w:val="0"/>
              <w:snapToGrid w:val="0"/>
              <w:jc w:val="center"/>
              <w:rPr>
                <w:szCs w:val="21"/>
              </w:rPr>
            </w:pPr>
          </w:p>
        </w:tc>
        <w:tc>
          <w:tcPr>
            <w:tcW w:w="1985" w:type="dxa"/>
            <w:noWrap w:val="0"/>
            <w:vAlign w:val="center"/>
          </w:tcPr>
          <w:p>
            <w:pPr>
              <w:adjustRightInd w:val="0"/>
              <w:snapToGrid w:val="0"/>
              <w:jc w:val="center"/>
              <w:rPr>
                <w:szCs w:val="21"/>
              </w:rPr>
            </w:pPr>
            <w:r>
              <w:rPr>
                <w:szCs w:val="21"/>
              </w:rPr>
              <w:t>沥青混凝土</w:t>
            </w:r>
          </w:p>
        </w:tc>
        <w:tc>
          <w:tcPr>
            <w:tcW w:w="1984" w:type="dxa"/>
            <w:noWrap w:val="0"/>
            <w:vAlign w:val="center"/>
          </w:tcPr>
          <w:p>
            <w:pPr>
              <w:adjustRightInd w:val="0"/>
              <w:snapToGrid w:val="0"/>
              <w:jc w:val="center"/>
              <w:rPr>
                <w:szCs w:val="21"/>
              </w:rPr>
            </w:pPr>
            <w:r>
              <w:rPr>
                <w:szCs w:val="21"/>
              </w:rPr>
              <w:t>沥青混凝土</w:t>
            </w:r>
          </w:p>
        </w:tc>
        <w:tc>
          <w:tcPr>
            <w:tcW w:w="1134" w:type="dxa"/>
            <w:noWrap w:val="0"/>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97" w:hRule="atLeast"/>
          <w:jc w:val="center"/>
        </w:trPr>
        <w:tc>
          <w:tcPr>
            <w:tcW w:w="426" w:type="dxa"/>
            <w:noWrap w:val="0"/>
            <w:vAlign w:val="center"/>
          </w:tcPr>
          <w:p>
            <w:pPr>
              <w:adjustRightInd w:val="0"/>
              <w:snapToGrid w:val="0"/>
              <w:jc w:val="center"/>
              <w:rPr>
                <w:szCs w:val="21"/>
              </w:rPr>
            </w:pPr>
          </w:p>
        </w:tc>
        <w:tc>
          <w:tcPr>
            <w:tcW w:w="533" w:type="dxa"/>
            <w:noWrap w:val="0"/>
            <w:vAlign w:val="center"/>
          </w:tcPr>
          <w:p>
            <w:pPr>
              <w:adjustRightInd w:val="0"/>
              <w:snapToGrid w:val="0"/>
              <w:jc w:val="center"/>
              <w:rPr>
                <w:szCs w:val="21"/>
              </w:rPr>
            </w:pPr>
            <w:r>
              <w:rPr>
                <w:szCs w:val="21"/>
              </w:rPr>
              <w:t>2</w:t>
            </w:r>
          </w:p>
        </w:tc>
        <w:tc>
          <w:tcPr>
            <w:tcW w:w="1984" w:type="dxa"/>
            <w:noWrap w:val="0"/>
            <w:vAlign w:val="center"/>
          </w:tcPr>
          <w:p>
            <w:pPr>
              <w:adjustRightInd w:val="0"/>
              <w:snapToGrid w:val="0"/>
              <w:jc w:val="center"/>
              <w:rPr>
                <w:szCs w:val="21"/>
              </w:rPr>
            </w:pPr>
            <w:r>
              <w:rPr>
                <w:szCs w:val="21"/>
              </w:rPr>
              <w:t>路面横坡</w:t>
            </w:r>
          </w:p>
        </w:tc>
        <w:tc>
          <w:tcPr>
            <w:tcW w:w="709" w:type="dxa"/>
            <w:noWrap w:val="0"/>
            <w:vAlign w:val="center"/>
          </w:tcPr>
          <w:p>
            <w:pPr>
              <w:adjustRightInd w:val="0"/>
              <w:snapToGrid w:val="0"/>
              <w:jc w:val="center"/>
              <w:rPr>
                <w:szCs w:val="21"/>
              </w:rPr>
            </w:pPr>
            <w:r>
              <w:rPr>
                <w:szCs w:val="21"/>
              </w:rPr>
              <w:t>%</w:t>
            </w:r>
          </w:p>
        </w:tc>
        <w:tc>
          <w:tcPr>
            <w:tcW w:w="1985" w:type="dxa"/>
            <w:noWrap w:val="0"/>
            <w:vAlign w:val="center"/>
          </w:tcPr>
          <w:p>
            <w:pPr>
              <w:adjustRightInd w:val="0"/>
              <w:snapToGrid w:val="0"/>
              <w:jc w:val="center"/>
              <w:rPr>
                <w:szCs w:val="21"/>
              </w:rPr>
            </w:pPr>
            <w:r>
              <w:rPr>
                <w:szCs w:val="21"/>
              </w:rPr>
              <w:t>2%</w:t>
            </w:r>
          </w:p>
        </w:tc>
        <w:tc>
          <w:tcPr>
            <w:tcW w:w="1984" w:type="dxa"/>
            <w:noWrap w:val="0"/>
            <w:vAlign w:val="center"/>
          </w:tcPr>
          <w:p>
            <w:pPr>
              <w:adjustRightInd w:val="0"/>
              <w:snapToGrid w:val="0"/>
              <w:jc w:val="center"/>
              <w:rPr>
                <w:szCs w:val="21"/>
              </w:rPr>
            </w:pPr>
            <w:r>
              <w:rPr>
                <w:szCs w:val="21"/>
              </w:rPr>
              <w:t>2%</w:t>
            </w:r>
          </w:p>
        </w:tc>
        <w:tc>
          <w:tcPr>
            <w:tcW w:w="1134" w:type="dxa"/>
            <w:noWrap w:val="0"/>
            <w:vAlign w:val="center"/>
          </w:tcPr>
          <w:p>
            <w:pPr>
              <w:adjustRightInd w:val="0"/>
              <w:snapToGrid w:val="0"/>
              <w:jc w:val="center"/>
              <w:rPr>
                <w:szCs w:val="21"/>
              </w:rPr>
            </w:pPr>
          </w:p>
        </w:tc>
      </w:tr>
    </w:tbl>
    <w:p>
      <w:pPr>
        <w:rPr>
          <w:rFonts w:hint="eastAsia" w:ascii="Times New Roman" w:hAnsi="Times New Roman"/>
        </w:rPr>
      </w:pPr>
    </w:p>
    <w:p>
      <w:pPr>
        <w:pStyle w:val="4"/>
        <w:spacing w:before="0" w:after="0" w:line="580" w:lineRule="exact"/>
        <w:ind w:firstLine="640"/>
        <w:rPr>
          <w:rFonts w:ascii="Times New Roman" w:hAnsi="Times New Roman" w:eastAsia="仿宋_GB2312"/>
          <w:color w:val="000000"/>
        </w:rPr>
      </w:pPr>
      <w:bookmarkStart w:id="6" w:name="_Toc213322091"/>
      <w:r>
        <w:rPr>
          <w:rFonts w:ascii="Times New Roman" w:hAnsi="Times New Roman" w:eastAsia="仿宋_GB2312"/>
          <w:color w:val="000000"/>
        </w:rPr>
        <w:t>1.1.3主要工程规模</w:t>
      </w:r>
      <w:bookmarkEnd w:id="6"/>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本项目为高速公路新建项目，建设内容包括路基路面、桥涵、隧道、交叉工程、交通工程与沿线设施、绿化工程、临时工程等，建设规模如下，最终以批复的施工图为准。</w:t>
      </w:r>
    </w:p>
    <w:p>
      <w:pPr>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（1）路线全长59.834公里，总占地8650亩。</w:t>
      </w:r>
    </w:p>
    <w:p>
      <w:pPr>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（2）沥青砼路面为787.522千平方米（含互通内主线）。</w:t>
      </w:r>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设置桥梁共25563.1m/57座，其中特大桥15501m/3座（黄河特大桥11242m），大桥1711m/3座，中桥927m/14座（不含互通内主线桥），互通内主线桥3738.1m/19座，主线上跨分离立交1951m/17座，城市高架桥1735m/1座；涵洞39道（含互通服务区内6道），通道34道（含互通服务区内13道），桥梁占比42.7%。</w:t>
      </w:r>
    </w:p>
    <w:p>
      <w:pPr>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（4）全线共设置10处互通立交，其中枢纽互通式立交4处，一般服务型互通式立交6处；服务区1处，监控通讯分中心1处，养护工区1处，主线收费站1处，匝道收费站5处。</w:t>
      </w:r>
    </w:p>
    <w:p>
      <w:pPr>
        <w:pStyle w:val="4"/>
        <w:spacing w:before="0" w:after="0" w:line="580" w:lineRule="exact"/>
        <w:ind w:firstLine="640"/>
        <w:rPr>
          <w:rFonts w:ascii="Times New Roman" w:hAnsi="Times New Roman" w:eastAsia="仿宋_GB2312"/>
          <w:color w:val="000000"/>
        </w:rPr>
      </w:pPr>
      <w:bookmarkStart w:id="7" w:name="_Toc213322092"/>
      <w:r>
        <w:rPr>
          <w:rFonts w:ascii="Times New Roman" w:hAnsi="Times New Roman" w:eastAsia="仿宋_GB2312"/>
          <w:color w:val="000000"/>
        </w:rPr>
        <w:t>1.1.4投资估算</w:t>
      </w:r>
      <w:bookmarkEnd w:id="7"/>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本项目估算总投资约</w:t>
      </w:r>
      <w:r>
        <w:rPr>
          <w:rFonts w:hint="eastAsia" w:ascii="Times New Roman" w:hAnsi="Times New Roman" w:eastAsia="仿宋_GB2312"/>
          <w:color w:val="000000"/>
          <w:sz w:val="32"/>
          <w:szCs w:val="32"/>
        </w:rPr>
        <w:t>1248088</w:t>
      </w:r>
      <w:r>
        <w:rPr>
          <w:rFonts w:ascii="Times New Roman" w:hAnsi="Times New Roman" w:eastAsia="仿宋_GB2312"/>
          <w:color w:val="000000"/>
          <w:sz w:val="32"/>
          <w:szCs w:val="32"/>
        </w:rPr>
        <w:t>万元，平均每公里造价</w:t>
      </w:r>
      <w:r>
        <w:rPr>
          <w:rFonts w:hint="eastAsia" w:ascii="Times New Roman" w:hAnsi="Times New Roman" w:eastAsia="仿宋_GB2312"/>
          <w:color w:val="000000"/>
          <w:sz w:val="32"/>
          <w:szCs w:val="32"/>
        </w:rPr>
        <w:t>20859</w:t>
      </w:r>
      <w:r>
        <w:rPr>
          <w:rFonts w:ascii="Times New Roman" w:hAnsi="Times New Roman" w:eastAsia="仿宋_GB2312"/>
          <w:color w:val="000000"/>
          <w:sz w:val="32"/>
          <w:szCs w:val="32"/>
        </w:rPr>
        <w:t>万元。其中，建安费</w:t>
      </w:r>
      <w:r>
        <w:rPr>
          <w:rFonts w:hint="eastAsia" w:ascii="Times New Roman" w:hAnsi="Times New Roman" w:eastAsia="仿宋_GB2312"/>
          <w:color w:val="000000"/>
          <w:sz w:val="32"/>
          <w:szCs w:val="32"/>
        </w:rPr>
        <w:t>807433</w:t>
      </w:r>
      <w:r>
        <w:rPr>
          <w:rFonts w:ascii="Times New Roman" w:hAnsi="Times New Roman" w:eastAsia="仿宋_GB2312"/>
          <w:color w:val="000000"/>
          <w:sz w:val="32"/>
          <w:szCs w:val="32"/>
        </w:rPr>
        <w:t>万元，占总投资的</w:t>
      </w:r>
      <w:r>
        <w:rPr>
          <w:rFonts w:hint="eastAsia" w:ascii="Times New Roman" w:hAnsi="Times New Roman" w:eastAsia="仿宋_GB2312"/>
          <w:color w:val="000000"/>
          <w:sz w:val="32"/>
          <w:szCs w:val="32"/>
        </w:rPr>
        <w:t>64.69</w:t>
      </w:r>
      <w:r>
        <w:rPr>
          <w:rFonts w:ascii="Times New Roman" w:hAnsi="Times New Roman" w:eastAsia="仿宋_GB2312"/>
          <w:color w:val="000000"/>
          <w:sz w:val="32"/>
          <w:szCs w:val="32"/>
        </w:rPr>
        <w:t>%，平均每公里约</w:t>
      </w:r>
      <w:r>
        <w:rPr>
          <w:rFonts w:hint="eastAsia" w:ascii="Times New Roman" w:hAnsi="Times New Roman" w:eastAsia="仿宋_GB2312"/>
          <w:color w:val="000000"/>
          <w:sz w:val="32"/>
          <w:szCs w:val="32"/>
        </w:rPr>
        <w:t>13495</w:t>
      </w:r>
      <w:r>
        <w:rPr>
          <w:rFonts w:ascii="Times New Roman" w:hAnsi="Times New Roman" w:eastAsia="仿宋_GB2312"/>
          <w:color w:val="000000"/>
          <w:sz w:val="32"/>
          <w:szCs w:val="32"/>
        </w:rPr>
        <w:t>万元。</w:t>
      </w:r>
    </w:p>
    <w:p>
      <w:pPr>
        <w:pStyle w:val="4"/>
        <w:spacing w:before="0" w:after="0" w:line="580" w:lineRule="exact"/>
        <w:ind w:firstLine="640"/>
        <w:rPr>
          <w:rFonts w:ascii="Times New Roman" w:hAnsi="Times New Roman" w:eastAsia="仿宋_GB2312"/>
          <w:color w:val="000000"/>
        </w:rPr>
      </w:pPr>
      <w:bookmarkStart w:id="8" w:name="_Toc213322093"/>
      <w:r>
        <w:rPr>
          <w:rFonts w:ascii="Times New Roman" w:hAnsi="Times New Roman" w:eastAsia="仿宋_GB2312"/>
          <w:color w:val="000000"/>
        </w:rPr>
        <w:t>1.1.5建设工期</w:t>
      </w:r>
      <w:bookmarkEnd w:id="8"/>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本项目拟定施工工期为4</w:t>
      </w:r>
      <w:r>
        <w:rPr>
          <w:rFonts w:hint="eastAsia" w:ascii="Times New Roman" w:hAnsi="Times New Roman" w:eastAsia="仿宋_GB2312"/>
          <w:color w:val="000000"/>
          <w:sz w:val="32"/>
          <w:szCs w:val="32"/>
        </w:rPr>
        <w:t>8</w:t>
      </w:r>
      <w:r>
        <w:rPr>
          <w:rFonts w:ascii="Times New Roman" w:hAnsi="Times New Roman" w:eastAsia="仿宋_GB2312"/>
          <w:color w:val="000000"/>
          <w:sz w:val="32"/>
          <w:szCs w:val="32"/>
        </w:rPr>
        <w:t>个月（具体以</w:t>
      </w:r>
      <w:r>
        <w:rPr>
          <w:rFonts w:hint="eastAsia" w:ascii="Times New Roman" w:hAnsi="Times New Roman" w:eastAsia="仿宋_GB2312"/>
          <w:color w:val="000000"/>
          <w:sz w:val="32"/>
          <w:szCs w:val="32"/>
        </w:rPr>
        <w:t>有权部门</w:t>
      </w:r>
      <w:r>
        <w:rPr>
          <w:rFonts w:ascii="Times New Roman" w:hAnsi="Times New Roman" w:eastAsia="仿宋_GB2312"/>
          <w:color w:val="000000"/>
          <w:sz w:val="32"/>
          <w:szCs w:val="32"/>
        </w:rPr>
        <w:t>批复为准，下同），自发布施工许可或开工令下达之日起。</w:t>
      </w:r>
    </w:p>
    <w:p>
      <w:pPr>
        <w:pStyle w:val="3"/>
        <w:spacing w:before="0" w:after="0" w:line="580" w:lineRule="exact"/>
        <w:ind w:firstLine="643"/>
        <w:rPr>
          <w:rFonts w:ascii="Times New Roman" w:hAnsi="Times New Roman" w:eastAsia="仿宋_GB2312"/>
          <w:color w:val="000000"/>
        </w:rPr>
      </w:pPr>
      <w:bookmarkStart w:id="9" w:name="_Toc213322094"/>
      <w:bookmarkStart w:id="10" w:name="_Toc1580"/>
      <w:r>
        <w:rPr>
          <w:rFonts w:ascii="Times New Roman" w:hAnsi="Times New Roman" w:eastAsia="仿宋_GB2312"/>
          <w:color w:val="000000"/>
        </w:rPr>
        <w:t>1.2当前项目前期工作进程</w:t>
      </w:r>
      <w:bookmarkEnd w:id="9"/>
      <w:bookmarkEnd w:id="10"/>
    </w:p>
    <w:p>
      <w:pPr>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1、实施机构授权</w:t>
      </w:r>
    </w:p>
    <w:p>
      <w:pPr>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项目涉及新乡市、郑州市、焦作市三个地市，根据《焦作市人民政府关于委托郑州至辉县高速公路新乡至郑州段项目焦作境有关工作的函》《郑州市人民政府关于委托新乡统筹推进郑州至辉县高速公路新乡至郑州段项目前期工作的复函》，郑州市、焦作市同意委托新乡市为项目推进主体，统筹负责项目各项前期工作。</w:t>
      </w:r>
    </w:p>
    <w:p>
      <w:pPr>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根据新乡市人民政府《关于郑州至辉县高速公路新乡至郑州段项目特许经营实施机构的批复》（新政文〔2025〕48号），为加快项目通道建设，新乡市人民政府（以下简称“市政府”）授权新乡市交通运输局（简称“市交通局”）为本项目实施机构，负责特许经营方案编制、特许经营者选择、初步协议及特许经营协议签订、项目实施监督、特许经营期满移交接收等工作。</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、与原特许经营者解约事宜</w:t>
      </w:r>
    </w:p>
    <w:p>
      <w:pPr>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2025年5月河南交通投资集团有限公司向新乡市人民政府提交《关于不再继续实施郑州至辉县高速公路新乡至郑州段安阳至新乡高速公路鹤壁至新乡段项目的复函》，请求解除郑辉高速项目原投资协议、重新开展投资人招标等工作，河南交通投资集团有限公司不再继续实施本项目。</w:t>
      </w:r>
    </w:p>
    <w:p>
      <w:pPr>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目前，关于解约事宜，双方基本达成一致。</w:t>
      </w:r>
    </w:p>
    <w:p>
      <w:pPr>
        <w:spacing w:line="580" w:lineRule="exact"/>
        <w:ind w:firstLine="420"/>
        <w:rPr>
          <w:rFonts w:ascii="Times New Roman" w:hAnsi="Times New Roman" w:eastAsia="仿宋_GB2312"/>
          <w:color w:val="000000"/>
          <w:sz w:val="32"/>
          <w:szCs w:val="32"/>
        </w:rPr>
      </w:pPr>
      <w:r>
        <w:rPr>
          <w:rFonts w:ascii="Times New Roman" w:hAnsi="Times New Roman" w:eastAsia="仿宋_GB2312"/>
          <w:color w:val="000000"/>
          <w:sz w:val="32"/>
          <w:szCs w:val="32"/>
        </w:rPr>
        <w:br w:type="page"/>
      </w:r>
    </w:p>
    <w:p>
      <w:pPr>
        <w:pStyle w:val="2"/>
        <w:numPr>
          <w:ilvl w:val="0"/>
          <w:numId w:val="0"/>
        </w:numPr>
        <w:spacing w:before="0" w:after="0" w:line="580" w:lineRule="exact"/>
        <w:jc w:val="center"/>
        <w:rPr>
          <w:rFonts w:ascii="Times New Roman" w:hAnsi="Times New Roman" w:eastAsia="仿宋_GB2312"/>
          <w:color w:val="000000"/>
          <w:szCs w:val="32"/>
        </w:rPr>
      </w:pPr>
      <w:bookmarkStart w:id="11" w:name="_Toc213322095"/>
      <w:bookmarkStart w:id="12" w:name="_Toc32295"/>
      <w:r>
        <w:rPr>
          <w:rFonts w:ascii="Times New Roman" w:hAnsi="Times New Roman" w:eastAsia="仿宋_GB2312"/>
          <w:color w:val="000000"/>
          <w:szCs w:val="32"/>
        </w:rPr>
        <w:t>2 市场测试方案</w:t>
      </w:r>
      <w:bookmarkEnd w:id="11"/>
      <w:bookmarkEnd w:id="12"/>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社会资本名称：</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w:t>
      </w:r>
    </w:p>
    <w:p>
      <w:pPr>
        <w:pStyle w:val="7"/>
        <w:spacing w:after="0"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社会资本联系人：</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 xml:space="preserve"> </w:t>
      </w:r>
    </w:p>
    <w:p>
      <w:pPr>
        <w:pStyle w:val="7"/>
        <w:spacing w:after="0"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社会资本联系方式：</w:t>
      </w:r>
      <w:r>
        <w:rPr>
          <w:rFonts w:ascii="Times New Roman" w:hAnsi="Times New Roman" w:eastAsia="仿宋_GB2312"/>
          <w:color w:val="000000"/>
          <w:sz w:val="32"/>
          <w:szCs w:val="32"/>
          <w:u w:val="single"/>
        </w:rPr>
        <w:t xml:space="preserve">                           </w:t>
      </w:r>
    </w:p>
    <w:p>
      <w:pPr>
        <w:pStyle w:val="7"/>
        <w:spacing w:after="0" w:line="580" w:lineRule="exact"/>
        <w:ind w:firstLine="640" w:firstLineChars="200"/>
        <w:jc w:val="left"/>
        <w:rPr>
          <w:rFonts w:ascii="Times New Roman" w:hAnsi="Times New Roman" w:eastAsia="仿宋_GB2312"/>
          <w:color w:val="000000"/>
          <w:sz w:val="32"/>
          <w:szCs w:val="32"/>
        </w:rPr>
      </w:pPr>
    </w:p>
    <w:p>
      <w:pPr>
        <w:pStyle w:val="3"/>
        <w:spacing w:before="0" w:after="0" w:line="580" w:lineRule="exact"/>
        <w:ind w:firstLine="643"/>
        <w:rPr>
          <w:rFonts w:ascii="Times New Roman" w:hAnsi="Times New Roman" w:eastAsia="仿宋_GB2312"/>
          <w:color w:val="000000"/>
        </w:rPr>
      </w:pPr>
      <w:bookmarkStart w:id="13" w:name="_Toc213322096"/>
      <w:r>
        <w:rPr>
          <w:rFonts w:ascii="Times New Roman" w:hAnsi="Times New Roman" w:eastAsia="仿宋_GB2312"/>
          <w:color w:val="000000"/>
        </w:rPr>
        <w:t>2.1基本思路</w:t>
      </w:r>
      <w:bookmarkEnd w:id="13"/>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基本思路：</w:t>
      </w:r>
      <w:r>
        <w:rPr>
          <w:rFonts w:hint="eastAsia" w:ascii="Times New Roman" w:hAnsi="Times New Roman" w:eastAsia="仿宋_GB2312"/>
          <w:color w:val="000000"/>
          <w:sz w:val="32"/>
          <w:szCs w:val="32"/>
        </w:rPr>
        <w:t>新乡市</w:t>
      </w:r>
      <w:r>
        <w:rPr>
          <w:rFonts w:ascii="Times New Roman" w:hAnsi="Times New Roman" w:eastAsia="仿宋_GB2312"/>
          <w:color w:val="000000"/>
          <w:sz w:val="32"/>
          <w:szCs w:val="32"/>
        </w:rPr>
        <w:t>人民政府拟采用特许经营模式实施本项目，授权</w:t>
      </w:r>
      <w:r>
        <w:rPr>
          <w:rFonts w:hint="eastAsia" w:ascii="Times New Roman" w:hAnsi="Times New Roman" w:eastAsia="仿宋_GB2312"/>
          <w:color w:val="000000"/>
          <w:sz w:val="32"/>
          <w:szCs w:val="32"/>
        </w:rPr>
        <w:t>新乡</w:t>
      </w:r>
      <w:r>
        <w:rPr>
          <w:rFonts w:ascii="Times New Roman" w:hAnsi="Times New Roman" w:eastAsia="仿宋_GB2312"/>
          <w:color w:val="000000"/>
          <w:sz w:val="32"/>
          <w:szCs w:val="32"/>
        </w:rPr>
        <w:t>市交通运输局作为项目实施机构，统筹开展各阶段工作；实施机构公开招标选择特许经营者，与中标特许经营者签订初步协议；中标特许经营者组建项目公司后，项目公司与实施机构签订特许经营协议，并接受实施机构对项目的实施监督；项目公司负责本项目的投资、建设、运营等工作，获取运营期间的经营收入（含通行费收入及其他附属设施经营收入），合同期满后项目资产及相关权利等无偿移交市政府或其指定机构。</w:t>
      </w:r>
    </w:p>
    <w:p>
      <w:pPr>
        <w:spacing w:line="580" w:lineRule="exact"/>
        <w:ind w:firstLine="640" w:firstLineChars="200"/>
        <w:rPr>
          <w:rFonts w:ascii="Times New Roman" w:hAnsi="Times New Roman" w:eastAsia="仿宋_GB2312"/>
          <w:color w:val="000000"/>
          <w:sz w:val="32"/>
          <w:szCs w:val="32"/>
          <w:u w:val="single"/>
        </w:rPr>
      </w:pPr>
      <w:r>
        <w:rPr>
          <w:rFonts w:ascii="Times New Roman" w:hAnsi="Times New Roman" w:eastAsia="仿宋_GB2312"/>
          <w:color w:val="000000"/>
          <w:sz w:val="32"/>
          <w:szCs w:val="32"/>
        </w:rPr>
        <w:t>社会资本的意见和建议：</w:t>
      </w:r>
      <w:r>
        <w:rPr>
          <w:rFonts w:ascii="Times New Roman" w:hAnsi="Times New Roman" w:eastAsia="仿宋_GB2312"/>
          <w:color w:val="000000"/>
          <w:sz w:val="32"/>
          <w:szCs w:val="32"/>
          <w:u w:val="single"/>
        </w:rPr>
        <w:t xml:space="preserve">                           </w:t>
      </w:r>
    </w:p>
    <w:p>
      <w:pPr>
        <w:pStyle w:val="3"/>
        <w:spacing w:before="0" w:after="0" w:line="580" w:lineRule="exact"/>
        <w:ind w:firstLine="643"/>
        <w:rPr>
          <w:rFonts w:ascii="Times New Roman" w:hAnsi="Times New Roman" w:eastAsia="仿宋_GB2312"/>
          <w:color w:val="000000"/>
        </w:rPr>
      </w:pPr>
      <w:bookmarkStart w:id="14" w:name="_Toc213322097"/>
      <w:r>
        <w:rPr>
          <w:rFonts w:ascii="Times New Roman" w:hAnsi="Times New Roman" w:eastAsia="仿宋_GB2312"/>
          <w:color w:val="000000"/>
        </w:rPr>
        <w:t>2.2合作边界</w:t>
      </w:r>
      <w:bookmarkEnd w:id="14"/>
    </w:p>
    <w:p>
      <w:pPr>
        <w:pStyle w:val="4"/>
        <w:spacing w:before="0" w:after="0" w:line="580" w:lineRule="exact"/>
        <w:ind w:firstLine="640"/>
        <w:rPr>
          <w:rFonts w:ascii="Times New Roman" w:hAnsi="Times New Roman" w:eastAsia="仿宋_GB2312"/>
          <w:color w:val="000000"/>
        </w:rPr>
      </w:pPr>
      <w:bookmarkStart w:id="15" w:name="_Toc213322098"/>
      <w:r>
        <w:rPr>
          <w:rFonts w:ascii="Times New Roman" w:hAnsi="Times New Roman" w:eastAsia="仿宋_GB2312"/>
          <w:color w:val="000000"/>
        </w:rPr>
        <w:t>2.2.1合作期限</w:t>
      </w:r>
      <w:bookmarkEnd w:id="15"/>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项目特许经营期包括前期及建设期和运营期（含收费期）。其中：前期及建设期5年（前期1年和建设期4年，最终以相关部门审批结果为准），自特许经营协议生效日起至项目约定交工日止；运营期（含收费期）自项目约定交工日的下一个公历日开始至特许经营期届满之日，或本项目特许经营协议提前终止日止，其中收费期暂定30年。</w:t>
      </w:r>
    </w:p>
    <w:p>
      <w:pPr>
        <w:pStyle w:val="4"/>
        <w:spacing w:before="0" w:after="0" w:line="580" w:lineRule="exact"/>
        <w:ind w:firstLine="640"/>
        <w:rPr>
          <w:rFonts w:ascii="Times New Roman" w:hAnsi="Times New Roman" w:eastAsia="仿宋_GB2312"/>
          <w:color w:val="000000"/>
        </w:rPr>
      </w:pPr>
      <w:bookmarkStart w:id="16" w:name="_Toc213322099"/>
      <w:r>
        <w:rPr>
          <w:rFonts w:ascii="Times New Roman" w:hAnsi="Times New Roman" w:eastAsia="仿宋_GB2312"/>
          <w:color w:val="000000"/>
        </w:rPr>
        <w:t>2.2.2政府方权利义务</w:t>
      </w:r>
      <w:bookmarkEnd w:id="16"/>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（1）为项目建设、运营提供良好环境，为中标特许经营者及项目公司行使各项权利提供便利条件，确保项目建设、运营顺利进行。</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（2）协助项目公司办理用地相关手续，负责项目征地拆迁工作。征地拆迁费用由项目公司承担，确保按时足额到位，计入项目总投资。</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（3）运营期内，项目公司通过经营收入回收建设、运营成本并获得合理回报，政府方不承担财政补贴责任。</w:t>
      </w:r>
    </w:p>
    <w:p>
      <w:pPr>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hint="eastAsia" w:eastAsia="仿宋_GB2312" w:cs="Calibri"/>
          <w:color w:val="000000"/>
          <w:sz w:val="32"/>
          <w:szCs w:val="32"/>
        </w:rPr>
        <w:t>4</w:t>
      </w:r>
      <w:r>
        <w:rPr>
          <w:rFonts w:hint="eastAsia" w:ascii="Times New Roman" w:hAnsi="Times New Roman" w:eastAsia="仿宋_GB2312"/>
          <w:color w:val="000000"/>
          <w:sz w:val="32"/>
          <w:szCs w:val="32"/>
        </w:rPr>
        <w:t>）负责完成与原特许经营者解约事宜。</w:t>
      </w:r>
    </w:p>
    <w:p>
      <w:pPr>
        <w:pStyle w:val="4"/>
        <w:spacing w:before="0" w:after="0" w:line="580" w:lineRule="exact"/>
        <w:ind w:firstLine="640"/>
        <w:rPr>
          <w:rFonts w:ascii="Times New Roman" w:hAnsi="Times New Roman" w:eastAsia="仿宋_GB2312"/>
          <w:color w:val="000000"/>
        </w:rPr>
      </w:pPr>
      <w:bookmarkStart w:id="17" w:name="_Toc213322100"/>
      <w:r>
        <w:rPr>
          <w:rFonts w:ascii="Times New Roman" w:hAnsi="Times New Roman" w:eastAsia="仿宋_GB2312"/>
          <w:color w:val="000000"/>
        </w:rPr>
        <w:t>2.2.3特许经营者权利义务</w:t>
      </w:r>
      <w:bookmarkEnd w:id="17"/>
    </w:p>
    <w:p>
      <w:pPr>
        <w:pStyle w:val="7"/>
        <w:spacing w:after="0" w:line="58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本项目估算总投资约</w:t>
      </w:r>
      <w:r>
        <w:rPr>
          <w:rFonts w:hint="eastAsia" w:ascii="Times New Roman" w:hAnsi="Times New Roman" w:eastAsia="仿宋_GB2312"/>
          <w:color w:val="000000"/>
          <w:sz w:val="32"/>
          <w:szCs w:val="32"/>
        </w:rPr>
        <w:t>124.81</w:t>
      </w:r>
      <w:r>
        <w:rPr>
          <w:rFonts w:ascii="Times New Roman" w:hAnsi="Times New Roman" w:eastAsia="仿宋_GB2312"/>
          <w:color w:val="000000"/>
          <w:sz w:val="32"/>
          <w:szCs w:val="32"/>
        </w:rPr>
        <w:t>亿元，按照项目资本金制度项目资本金最低比例20%的要求，项目资本金约</w:t>
      </w:r>
      <w:r>
        <w:rPr>
          <w:rFonts w:hint="eastAsia" w:ascii="Times New Roman" w:hAnsi="Times New Roman" w:eastAsia="仿宋_GB2312"/>
          <w:color w:val="000000"/>
          <w:sz w:val="32"/>
          <w:szCs w:val="32"/>
        </w:rPr>
        <w:t>24.96</w:t>
      </w:r>
      <w:r>
        <w:rPr>
          <w:rFonts w:ascii="Times New Roman" w:hAnsi="Times New Roman" w:eastAsia="仿宋_GB2312"/>
          <w:color w:val="000000"/>
          <w:sz w:val="32"/>
          <w:szCs w:val="32"/>
        </w:rPr>
        <w:t>亿元，全部由中标</w:t>
      </w:r>
      <w:r>
        <w:rPr>
          <w:rFonts w:hint="eastAsia" w:ascii="Times New Roman" w:hAnsi="Times New Roman" w:eastAsia="仿宋_GB2312"/>
          <w:color w:val="000000"/>
          <w:sz w:val="32"/>
          <w:szCs w:val="32"/>
        </w:rPr>
        <w:t>特许经营者</w:t>
      </w:r>
      <w:r>
        <w:rPr>
          <w:rFonts w:ascii="Times New Roman" w:hAnsi="Times New Roman" w:eastAsia="仿宋_GB2312"/>
          <w:color w:val="000000"/>
          <w:sz w:val="32"/>
          <w:szCs w:val="32"/>
        </w:rPr>
        <w:t>出资。</w:t>
      </w:r>
    </w:p>
    <w:p>
      <w:pPr>
        <w:pStyle w:val="7"/>
        <w:spacing w:after="0" w:line="58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（1）中标特许经营者提交履约保函的金额为</w:t>
      </w:r>
      <w:r>
        <w:rPr>
          <w:rFonts w:hint="eastAsia" w:ascii="Times New Roman" w:hAnsi="Times New Roman" w:eastAsia="仿宋_GB2312"/>
          <w:color w:val="000000"/>
          <w:sz w:val="32"/>
          <w:szCs w:val="32"/>
        </w:rPr>
        <w:t>项目资本金的10%</w:t>
      </w:r>
      <w:r>
        <w:rPr>
          <w:rFonts w:ascii="Times New Roman" w:hAnsi="Times New Roman" w:eastAsia="仿宋_GB2312"/>
          <w:color w:val="000000"/>
          <w:sz w:val="32"/>
          <w:szCs w:val="32"/>
        </w:rPr>
        <w:t>。</w:t>
      </w:r>
    </w:p>
    <w:p>
      <w:pPr>
        <w:pStyle w:val="7"/>
        <w:spacing w:after="0" w:line="58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（2）中标特许经营者负责组建项目公司，持有项目公司100%股权，项目公司注册地为</w:t>
      </w:r>
      <w:r>
        <w:rPr>
          <w:rFonts w:hint="eastAsia" w:ascii="Times New Roman" w:hAnsi="Times New Roman" w:eastAsia="仿宋_GB2312"/>
          <w:color w:val="000000"/>
          <w:sz w:val="32"/>
          <w:szCs w:val="32"/>
        </w:rPr>
        <w:t>新乡</w:t>
      </w:r>
      <w:r>
        <w:rPr>
          <w:rFonts w:ascii="Times New Roman" w:hAnsi="Times New Roman" w:eastAsia="仿宋_GB2312"/>
          <w:color w:val="000000"/>
          <w:sz w:val="32"/>
          <w:szCs w:val="32"/>
        </w:rPr>
        <w:t>市。</w:t>
      </w:r>
    </w:p>
    <w:p>
      <w:pPr>
        <w:pStyle w:val="7"/>
        <w:spacing w:after="0" w:line="58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根据实施机构的要求和相关约定，承担与原特许经营者解约产生的相关费用。</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项目公司负责项目融资，应采取多种渠道合法地筹集本项目资本金以外的其他建设资金和运营管理所需资金，于特许经营协议签署后一定期限内完成融资交割。如果项目公司无法在约定的期限内融资到位，中标特许经营者应履行项目投融资义务，确保项目顺利实施。</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（5）项目竣工验收前，</w:t>
      </w:r>
      <w:r>
        <w:rPr>
          <w:rFonts w:hint="eastAsia" w:ascii="Times New Roman" w:hAnsi="Times New Roman" w:eastAsia="仿宋_GB2312"/>
          <w:color w:val="000000"/>
          <w:sz w:val="32"/>
          <w:szCs w:val="32"/>
        </w:rPr>
        <w:t>中标特许经营者</w:t>
      </w:r>
      <w:r>
        <w:rPr>
          <w:rFonts w:ascii="Times New Roman" w:hAnsi="Times New Roman" w:eastAsia="仿宋_GB2312"/>
          <w:color w:val="000000"/>
          <w:sz w:val="32"/>
          <w:szCs w:val="32"/>
        </w:rPr>
        <w:t>不得以任何方式转让其在项目公司中的全部或部分股权，经政府或实施机构书面同意的除外（如在不减少投资人义务责任的前提下，为了项目融资需要，经市人民政府书面同意后，可引入与项目投资人相关联的财务投资人；或</w:t>
      </w:r>
      <w:r>
        <w:rPr>
          <w:rFonts w:hint="eastAsia" w:ascii="Times New Roman" w:hAnsi="Times New Roman" w:eastAsia="仿宋_GB2312"/>
          <w:color w:val="000000"/>
          <w:sz w:val="32"/>
          <w:szCs w:val="32"/>
        </w:rPr>
        <w:t>按照市场化方式采用成立私募基金，引入战略投资者；或投资人联合体任一成员发生重大变化无法继续履约，包括破产、股权冻结等，联合体其他成员承担连带责任承接其股权等</w:t>
      </w:r>
      <w:r>
        <w:rPr>
          <w:rFonts w:ascii="Times New Roman" w:hAnsi="Times New Roman" w:eastAsia="仿宋_GB2312"/>
          <w:color w:val="000000"/>
          <w:sz w:val="32"/>
          <w:szCs w:val="32"/>
        </w:rPr>
        <w:t>）。竣工验收后，</w:t>
      </w:r>
      <w:r>
        <w:rPr>
          <w:rFonts w:hint="eastAsia" w:ascii="Times New Roman" w:hAnsi="Times New Roman" w:eastAsia="仿宋_GB2312"/>
          <w:color w:val="000000"/>
          <w:sz w:val="32"/>
          <w:szCs w:val="32"/>
        </w:rPr>
        <w:t>中标特许经营者</w:t>
      </w:r>
      <w:r>
        <w:rPr>
          <w:rFonts w:ascii="Times New Roman" w:hAnsi="Times New Roman" w:eastAsia="仿宋_GB2312"/>
          <w:color w:val="000000"/>
          <w:sz w:val="32"/>
          <w:szCs w:val="32"/>
        </w:rPr>
        <w:t>以任何方式转让其在项目公司中的全部或部分股权的，</w:t>
      </w:r>
      <w:r>
        <w:rPr>
          <w:rFonts w:hint="eastAsia" w:ascii="Times New Roman" w:hAnsi="Times New Roman" w:eastAsia="仿宋_GB2312"/>
          <w:color w:val="000000"/>
          <w:sz w:val="32"/>
          <w:szCs w:val="32"/>
        </w:rPr>
        <w:t>需</w:t>
      </w:r>
      <w:r>
        <w:rPr>
          <w:rFonts w:ascii="Times New Roman" w:hAnsi="Times New Roman" w:eastAsia="仿宋_GB2312"/>
          <w:color w:val="000000"/>
          <w:sz w:val="32"/>
          <w:szCs w:val="32"/>
        </w:rPr>
        <w:t>经实施机构或政府方书面同意。受让方应满足政府要求的基本条件，承继</w:t>
      </w:r>
      <w:r>
        <w:rPr>
          <w:rFonts w:hint="eastAsia" w:ascii="Times New Roman" w:hAnsi="Times New Roman" w:eastAsia="仿宋_GB2312"/>
          <w:color w:val="000000"/>
          <w:sz w:val="32"/>
          <w:szCs w:val="32"/>
        </w:rPr>
        <w:t>原</w:t>
      </w:r>
      <w:r>
        <w:rPr>
          <w:rFonts w:ascii="Times New Roman" w:hAnsi="Times New Roman" w:eastAsia="仿宋_GB2312"/>
          <w:color w:val="000000"/>
          <w:sz w:val="32"/>
          <w:szCs w:val="32"/>
        </w:rPr>
        <w:t>特许经营者</w:t>
      </w:r>
      <w:r>
        <w:rPr>
          <w:rFonts w:hint="eastAsia" w:ascii="Times New Roman" w:hAnsi="Times New Roman" w:eastAsia="仿宋_GB2312"/>
          <w:color w:val="000000"/>
          <w:sz w:val="32"/>
          <w:szCs w:val="32"/>
        </w:rPr>
        <w:t>的全部合同义务，且需要符合届时适用法律的要求。最终以本项目特许经营协议约定为准</w:t>
      </w:r>
      <w:r>
        <w:rPr>
          <w:rFonts w:ascii="Times New Roman" w:hAnsi="Times New Roman" w:eastAsia="仿宋_GB2312"/>
          <w:color w:val="000000"/>
          <w:sz w:val="32"/>
          <w:szCs w:val="32"/>
        </w:rPr>
        <w:t>。</w:t>
      </w:r>
    </w:p>
    <w:p>
      <w:pPr>
        <w:pStyle w:val="4"/>
        <w:spacing w:before="0" w:after="0" w:line="580" w:lineRule="exact"/>
        <w:ind w:firstLine="640"/>
        <w:rPr>
          <w:rFonts w:ascii="Times New Roman" w:hAnsi="Times New Roman" w:eastAsia="仿宋_GB2312"/>
          <w:color w:val="000000"/>
        </w:rPr>
      </w:pPr>
      <w:bookmarkStart w:id="18" w:name="_Toc213322101"/>
      <w:r>
        <w:rPr>
          <w:rFonts w:ascii="Times New Roman" w:hAnsi="Times New Roman" w:eastAsia="仿宋_GB2312"/>
          <w:color w:val="000000"/>
        </w:rPr>
        <w:t>2.2.4主要风险分配</w:t>
      </w:r>
      <w:bookmarkEnd w:id="18"/>
    </w:p>
    <w:p>
      <w:pPr>
        <w:pStyle w:val="4"/>
        <w:spacing w:before="0" w:after="0" w:line="580" w:lineRule="exact"/>
        <w:ind w:firstLine="640"/>
        <w:rPr>
          <w:rFonts w:ascii="Times New Roman" w:hAnsi="Times New Roman" w:eastAsia="仿宋_GB2312"/>
          <w:color w:val="000000"/>
        </w:rPr>
      </w:pPr>
      <w:bookmarkStart w:id="19" w:name="_Toc213322102"/>
      <w:r>
        <w:rPr>
          <w:rFonts w:ascii="Times New Roman" w:hAnsi="Times New Roman" w:eastAsia="仿宋_GB2312"/>
          <w:color w:val="000000"/>
        </w:rPr>
        <w:t>（1）资金风险</w:t>
      </w:r>
      <w:bookmarkEnd w:id="19"/>
    </w:p>
    <w:p>
      <w:pPr>
        <w:pStyle w:val="26"/>
        <w:widowControl/>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本项目由特许经营者保障资本金按时足额到位，并承担融资责任及融资利率变动风险。</w:t>
      </w:r>
    </w:p>
    <w:p>
      <w:pPr>
        <w:pStyle w:val="4"/>
        <w:spacing w:before="0" w:after="0" w:line="580" w:lineRule="exact"/>
        <w:ind w:firstLine="640"/>
        <w:rPr>
          <w:rFonts w:ascii="Times New Roman" w:hAnsi="Times New Roman" w:eastAsia="仿宋_GB2312"/>
          <w:color w:val="000000"/>
        </w:rPr>
      </w:pPr>
      <w:bookmarkStart w:id="20" w:name="_Toc213322103"/>
      <w:r>
        <w:rPr>
          <w:rFonts w:ascii="Times New Roman" w:hAnsi="Times New Roman" w:eastAsia="仿宋_GB2312"/>
          <w:color w:val="000000"/>
        </w:rPr>
        <w:t>（2）征地拆迁风险</w:t>
      </w:r>
      <w:bookmarkEnd w:id="20"/>
    </w:p>
    <w:p>
      <w:pPr>
        <w:pStyle w:val="26"/>
        <w:widowControl/>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本项目由政府具体负责完成项目建设用地的征地拆迁工作，将项目建设用地提供给项目公司。征地拆迁费用由项目公司承担，由沿线地方政府包干使用，计入项目总投资。</w:t>
      </w:r>
    </w:p>
    <w:p>
      <w:pPr>
        <w:pStyle w:val="26"/>
        <w:widowControl/>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因征地拆迁导致的工期延误，政府方只顺延工期；因项目公司未能按时足额拨付征地拆迁费用引起的风险，由项目公司承担。</w:t>
      </w:r>
    </w:p>
    <w:p>
      <w:pPr>
        <w:pStyle w:val="4"/>
        <w:spacing w:before="0" w:after="0" w:line="580" w:lineRule="exact"/>
        <w:ind w:firstLine="640"/>
        <w:rPr>
          <w:rFonts w:ascii="Times New Roman" w:hAnsi="Times New Roman" w:eastAsia="仿宋_GB2312"/>
          <w:color w:val="000000"/>
        </w:rPr>
      </w:pPr>
      <w:bookmarkStart w:id="21" w:name="_Toc213322104"/>
      <w:r>
        <w:rPr>
          <w:rFonts w:ascii="Times New Roman" w:hAnsi="Times New Roman" w:eastAsia="仿宋_GB2312"/>
          <w:color w:val="000000"/>
        </w:rPr>
        <w:t>（3）建设风险</w:t>
      </w:r>
      <w:bookmarkEnd w:id="21"/>
    </w:p>
    <w:p>
      <w:pPr>
        <w:pStyle w:val="26"/>
        <w:widowControl/>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本项目建设工作由项目公司负责完成，因此建设风险主要由项目公司承担。确因政府方原因造成工期延误的，相应顺延工期。</w:t>
      </w:r>
    </w:p>
    <w:p>
      <w:pPr>
        <w:pStyle w:val="4"/>
        <w:spacing w:before="0" w:after="0" w:line="580" w:lineRule="exact"/>
        <w:ind w:firstLine="640"/>
        <w:rPr>
          <w:rFonts w:ascii="Times New Roman" w:hAnsi="Times New Roman" w:eastAsia="仿宋_GB2312"/>
          <w:color w:val="000000"/>
        </w:rPr>
      </w:pPr>
      <w:bookmarkStart w:id="22" w:name="_Toc213322105"/>
      <w:r>
        <w:rPr>
          <w:rFonts w:ascii="Times New Roman" w:hAnsi="Times New Roman" w:eastAsia="仿宋_GB2312"/>
          <w:color w:val="000000"/>
        </w:rPr>
        <w:t>（4）收入风险</w:t>
      </w:r>
      <w:bookmarkEnd w:id="22"/>
    </w:p>
    <w:p>
      <w:pPr>
        <w:pStyle w:val="26"/>
        <w:widowControl/>
        <w:spacing w:line="58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项目收入来源主要为车辆通行费收入，在实际运营过程中，存在交通量不及预期、实际批复的收费标准与特许经营方案测算采用的收费标准有所出入等风险，造成项目实际收入低于预测值。本项目收入风险由项目公司承担</w:t>
      </w:r>
      <w:r>
        <w:rPr>
          <w:rFonts w:ascii="Times New Roman" w:hAnsi="Times New Roman" w:eastAsia="仿宋_GB2312"/>
          <w:color w:val="000000"/>
          <w:sz w:val="32"/>
          <w:szCs w:val="32"/>
        </w:rPr>
        <w:t>。</w:t>
      </w:r>
    </w:p>
    <w:p>
      <w:pPr>
        <w:pStyle w:val="7"/>
        <w:spacing w:after="0" w:line="580" w:lineRule="exact"/>
        <w:ind w:firstLine="640" w:firstLineChars="200"/>
        <w:jc w:val="left"/>
        <w:rPr>
          <w:rFonts w:ascii="Times New Roman" w:hAnsi="Times New Roman" w:eastAsia="仿宋_GB2312"/>
          <w:color w:val="000000"/>
          <w:sz w:val="32"/>
          <w:szCs w:val="32"/>
          <w:u w:val="single"/>
        </w:rPr>
      </w:pPr>
      <w:r>
        <w:rPr>
          <w:rFonts w:ascii="Times New Roman" w:hAnsi="Times New Roman" w:eastAsia="仿宋_GB2312"/>
          <w:color w:val="000000"/>
          <w:sz w:val="32"/>
          <w:szCs w:val="32"/>
        </w:rPr>
        <w:t>社会资本的意见和建议：</w:t>
      </w:r>
      <w:r>
        <w:rPr>
          <w:rFonts w:ascii="Times New Roman" w:hAnsi="Times New Roman" w:eastAsia="仿宋_GB2312"/>
          <w:color w:val="000000"/>
          <w:sz w:val="32"/>
          <w:szCs w:val="32"/>
          <w:u w:val="single"/>
        </w:rPr>
        <w:t xml:space="preserve">                         </w:t>
      </w:r>
    </w:p>
    <w:p>
      <w:pPr>
        <w:pStyle w:val="3"/>
        <w:spacing w:before="0" w:after="0" w:line="580" w:lineRule="exact"/>
        <w:ind w:firstLine="643"/>
        <w:rPr>
          <w:rFonts w:ascii="Times New Roman" w:hAnsi="Times New Roman" w:eastAsia="仿宋_GB2312"/>
          <w:color w:val="000000"/>
        </w:rPr>
      </w:pPr>
      <w:bookmarkStart w:id="23" w:name="_Toc213322106"/>
      <w:r>
        <w:rPr>
          <w:rFonts w:ascii="Times New Roman" w:hAnsi="Times New Roman" w:eastAsia="仿宋_GB2312"/>
          <w:color w:val="000000"/>
        </w:rPr>
        <w:t>2.3 特许经营者要求</w:t>
      </w:r>
      <w:bookmarkEnd w:id="23"/>
    </w:p>
    <w:p>
      <w:pPr>
        <w:pStyle w:val="4"/>
        <w:spacing w:before="0" w:after="0" w:line="580" w:lineRule="exact"/>
        <w:ind w:firstLine="640"/>
        <w:rPr>
          <w:rFonts w:ascii="Times New Roman" w:hAnsi="Times New Roman" w:eastAsia="仿宋_GB2312"/>
          <w:color w:val="000000"/>
        </w:rPr>
      </w:pPr>
      <w:bookmarkStart w:id="24" w:name="_Toc213322107"/>
      <w:r>
        <w:rPr>
          <w:rFonts w:ascii="Times New Roman" w:hAnsi="Times New Roman" w:eastAsia="仿宋_GB2312"/>
          <w:color w:val="000000"/>
        </w:rPr>
        <w:t>2.3.1选择方式</w:t>
      </w:r>
      <w:bookmarkEnd w:id="24"/>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公开</w:t>
      </w:r>
      <w:r>
        <w:rPr>
          <w:rFonts w:hint="eastAsia" w:ascii="Times New Roman" w:hAnsi="Times New Roman" w:eastAsia="仿宋_GB2312"/>
          <w:color w:val="000000"/>
          <w:sz w:val="32"/>
          <w:szCs w:val="32"/>
        </w:rPr>
        <w:t>招标</w:t>
      </w:r>
      <w:r>
        <w:rPr>
          <w:rFonts w:ascii="Times New Roman" w:hAnsi="Times New Roman" w:eastAsia="仿宋_GB2312"/>
          <w:color w:val="000000"/>
          <w:sz w:val="32"/>
          <w:szCs w:val="32"/>
        </w:rPr>
        <w:t>。</w:t>
      </w:r>
    </w:p>
    <w:p>
      <w:pPr>
        <w:pStyle w:val="4"/>
        <w:spacing w:before="0" w:after="0" w:line="580" w:lineRule="exact"/>
        <w:ind w:firstLine="640"/>
        <w:rPr>
          <w:rFonts w:hint="eastAsia" w:ascii="Times New Roman" w:hAnsi="Times New Roman" w:eastAsia="仿宋_GB2312"/>
          <w:color w:val="000000"/>
        </w:rPr>
      </w:pPr>
      <w:bookmarkStart w:id="25" w:name="_Toc213322108"/>
      <w:r>
        <w:rPr>
          <w:rFonts w:ascii="Times New Roman" w:hAnsi="Times New Roman" w:eastAsia="仿宋_GB2312"/>
          <w:color w:val="000000"/>
        </w:rPr>
        <w:t>2.3.2</w:t>
      </w:r>
      <w:r>
        <w:rPr>
          <w:rFonts w:hint="eastAsia" w:ascii="Times New Roman" w:hAnsi="Times New Roman" w:eastAsia="仿宋_GB2312"/>
          <w:color w:val="000000"/>
        </w:rPr>
        <w:t>选择标准</w:t>
      </w:r>
      <w:bookmarkEnd w:id="25"/>
    </w:p>
    <w:p>
      <w:pPr>
        <w:numPr>
          <w:ilvl w:val="0"/>
          <w:numId w:val="2"/>
        </w:num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最近连续三年每年均为盈利，且年度财务报告应当经具有法定资格的中介机构审计（企业成立时间不足的按照实际成立年限提供）</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财务状况良好，没有处于财产被接管、冻结、破产或其他不良状态、无重大不良资产或不良投资项目。</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）具有不低于项目估算总投资的投融资能力，其中，净资产不低于项目估算投资的百分之三十五。</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）两个以上的国内外经济组织可以组成一个联合体，以一个投标人的身份共同投标，联合体各方均应在项目公司持股。</w:t>
      </w:r>
    </w:p>
    <w:p>
      <w:pPr>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（4）支持民营企业参与，同等条件下，优先推荐独立投标的民营企业或有民营企业参与的联合体为中标候选人。</w:t>
      </w:r>
    </w:p>
    <w:p>
      <w:pPr>
        <w:pStyle w:val="4"/>
        <w:spacing w:before="0" w:after="0" w:line="580" w:lineRule="exact"/>
        <w:ind w:firstLine="640"/>
        <w:rPr>
          <w:rFonts w:ascii="Times New Roman" w:hAnsi="Times New Roman" w:eastAsia="仿宋_GB2312"/>
          <w:color w:val="000000"/>
        </w:rPr>
      </w:pPr>
      <w:bookmarkStart w:id="26" w:name="_Toc213322109"/>
      <w:r>
        <w:rPr>
          <w:rFonts w:ascii="Times New Roman" w:hAnsi="Times New Roman" w:eastAsia="仿宋_GB2312"/>
          <w:color w:val="000000"/>
        </w:rPr>
        <w:t>2.3.3业绩</w:t>
      </w:r>
      <w:bookmarkEnd w:id="26"/>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请简单列举过去五年中，在国内高速公路投资、建设、运营和维护的资质和业绩，包括项目业主名称及联系人、项目名称、签署《项目合同》的时间、项目期限、主要内容等。</w:t>
      </w:r>
    </w:p>
    <w:p>
      <w:pPr>
        <w:pStyle w:val="7"/>
        <w:spacing w:after="0" w:line="580" w:lineRule="exact"/>
        <w:ind w:firstLine="420"/>
        <w:rPr>
          <w:rFonts w:ascii="Times New Roman" w:hAnsi="Times New Roman" w:eastAsia="仿宋_GB2312"/>
          <w:color w:val="000000"/>
          <w:sz w:val="32"/>
          <w:szCs w:val="32"/>
        </w:rPr>
      </w:pPr>
    </w:p>
    <w:p>
      <w:pPr>
        <w:pStyle w:val="7"/>
        <w:spacing w:after="0"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社会资本的意见和建议：</w:t>
      </w:r>
      <w:r>
        <w:rPr>
          <w:rFonts w:ascii="Times New Roman" w:hAnsi="Times New Roman" w:eastAsia="仿宋_GB2312"/>
          <w:color w:val="000000"/>
          <w:sz w:val="32"/>
          <w:szCs w:val="32"/>
          <w:u w:val="single"/>
        </w:rPr>
        <w:t xml:space="preserve">                        </w:t>
      </w:r>
    </w:p>
    <w:p>
      <w:pPr>
        <w:pStyle w:val="3"/>
        <w:spacing w:before="0" w:after="0" w:line="580" w:lineRule="exact"/>
        <w:ind w:firstLine="643"/>
        <w:rPr>
          <w:rFonts w:ascii="Times New Roman" w:hAnsi="Times New Roman" w:eastAsia="仿宋_GB2312"/>
          <w:color w:val="000000"/>
        </w:rPr>
      </w:pPr>
      <w:bookmarkStart w:id="27" w:name="_Toc213322110"/>
      <w:r>
        <w:rPr>
          <w:rFonts w:ascii="Times New Roman" w:hAnsi="Times New Roman" w:eastAsia="仿宋_GB2312"/>
          <w:color w:val="000000"/>
        </w:rPr>
        <w:t>2.4 其它意见和建议</w:t>
      </w:r>
      <w:bookmarkEnd w:id="27"/>
    </w:p>
    <w:p>
      <w:pPr>
        <w:spacing w:line="580" w:lineRule="exact"/>
        <w:ind w:firstLine="640" w:firstLineChars="200"/>
        <w:rPr>
          <w:rFonts w:ascii="Times New Roman" w:hAnsi="Times New Roman" w:eastAsia="仿宋_GB2312"/>
          <w:color w:val="000000"/>
          <w:sz w:val="32"/>
          <w:szCs w:val="32"/>
          <w:u w:val="single"/>
        </w:rPr>
      </w:pPr>
      <w:r>
        <w:rPr>
          <w:rFonts w:ascii="Times New Roman" w:hAnsi="Times New Roman" w:eastAsia="仿宋_GB2312"/>
          <w:color w:val="000000"/>
          <w:sz w:val="32"/>
          <w:szCs w:val="32"/>
        </w:rPr>
        <w:t>社会资本的意见和建议：</w:t>
      </w:r>
      <w:r>
        <w:rPr>
          <w:rFonts w:ascii="Times New Roman" w:hAnsi="Times New Roman" w:eastAsia="仿宋_GB2312"/>
          <w:color w:val="000000"/>
          <w:sz w:val="32"/>
          <w:szCs w:val="32"/>
          <w:u w:val="single"/>
        </w:rPr>
        <w:t xml:space="preserve">                           </w:t>
      </w:r>
    </w:p>
    <w:p>
      <w:pPr>
        <w:pStyle w:val="7"/>
        <w:spacing w:after="0" w:line="580" w:lineRule="exact"/>
        <w:ind w:firstLine="420"/>
        <w:rPr>
          <w:rFonts w:ascii="Times New Roman" w:hAnsi="Times New Roman" w:eastAsia="仿宋_GB2312"/>
          <w:color w:val="000000"/>
          <w:sz w:val="32"/>
          <w:szCs w:val="32"/>
        </w:rPr>
      </w:pPr>
    </w:p>
    <w:p>
      <w:pPr>
        <w:widowControl/>
        <w:spacing w:line="580" w:lineRule="exact"/>
        <w:ind w:firstLine="420"/>
        <w:jc w:val="left"/>
        <w:rPr>
          <w:rFonts w:ascii="Times New Roman" w:hAnsi="Times New Roman" w:eastAsia="仿宋_GB2312"/>
          <w:color w:val="000000"/>
          <w:sz w:val="32"/>
          <w:szCs w:val="32"/>
        </w:rPr>
      </w:pPr>
      <w:r>
        <w:rPr>
          <w:rFonts w:ascii="Times New Roman" w:hAnsi="Times New Roman" w:eastAsia="仿宋_GB2312"/>
          <w:color w:val="000000"/>
          <w:sz w:val="32"/>
          <w:szCs w:val="32"/>
        </w:rPr>
        <w:br w:type="page"/>
      </w:r>
    </w:p>
    <w:p>
      <w:pPr>
        <w:pStyle w:val="2"/>
        <w:numPr>
          <w:ilvl w:val="0"/>
          <w:numId w:val="0"/>
        </w:numPr>
        <w:spacing w:before="0" w:after="0" w:line="580" w:lineRule="exact"/>
        <w:jc w:val="center"/>
        <w:rPr>
          <w:rFonts w:ascii="Times New Roman" w:hAnsi="Times New Roman" w:eastAsia="仿宋_GB2312"/>
          <w:color w:val="000000"/>
          <w:szCs w:val="32"/>
        </w:rPr>
      </w:pPr>
      <w:bookmarkStart w:id="28" w:name="_Toc213322111"/>
      <w:r>
        <w:rPr>
          <w:rFonts w:ascii="Times New Roman" w:hAnsi="Times New Roman" w:eastAsia="仿宋_GB2312"/>
          <w:color w:val="000000"/>
          <w:szCs w:val="32"/>
        </w:rPr>
        <w:t>3 项目收入、成本及效益分析</w:t>
      </w:r>
      <w:bookmarkEnd w:id="28"/>
    </w:p>
    <w:p>
      <w:pPr>
        <w:pStyle w:val="3"/>
        <w:spacing w:before="0" w:after="0" w:line="580" w:lineRule="exact"/>
        <w:ind w:firstLine="643"/>
        <w:rPr>
          <w:rFonts w:ascii="Times New Roman" w:hAnsi="Times New Roman" w:eastAsia="仿宋_GB2312"/>
          <w:color w:val="000000"/>
        </w:rPr>
      </w:pPr>
      <w:bookmarkStart w:id="29" w:name="_Toc213322112"/>
      <w:r>
        <w:rPr>
          <w:rFonts w:ascii="Times New Roman" w:hAnsi="Times New Roman" w:eastAsia="仿宋_GB2312"/>
          <w:color w:val="000000"/>
        </w:rPr>
        <w:t>3.1项目投资</w:t>
      </w:r>
      <w:bookmarkEnd w:id="29"/>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本项目总投资</w:t>
      </w:r>
      <w:r>
        <w:rPr>
          <w:rFonts w:hint="eastAsia" w:ascii="Times New Roman" w:hAnsi="Times New Roman" w:eastAsia="仿宋_GB2312"/>
          <w:color w:val="000000"/>
          <w:sz w:val="32"/>
          <w:szCs w:val="32"/>
        </w:rPr>
        <w:t>124.81</w:t>
      </w:r>
      <w:r>
        <w:rPr>
          <w:rFonts w:ascii="Times New Roman" w:hAnsi="Times New Roman" w:eastAsia="仿宋_GB2312"/>
          <w:color w:val="000000"/>
          <w:sz w:val="32"/>
          <w:szCs w:val="32"/>
        </w:rPr>
        <w:t>亿元，按照项目资本金制度最低比例20%的要求，项目资本金为</w:t>
      </w:r>
      <w:r>
        <w:rPr>
          <w:rFonts w:hint="eastAsia" w:ascii="Times New Roman" w:hAnsi="Times New Roman" w:eastAsia="仿宋_GB2312"/>
          <w:color w:val="000000"/>
          <w:sz w:val="32"/>
          <w:szCs w:val="32"/>
        </w:rPr>
        <w:t>24.96</w:t>
      </w:r>
      <w:r>
        <w:rPr>
          <w:rFonts w:ascii="Times New Roman" w:hAnsi="Times New Roman" w:eastAsia="仿宋_GB2312"/>
          <w:color w:val="000000"/>
          <w:sz w:val="32"/>
          <w:szCs w:val="32"/>
        </w:rPr>
        <w:t>亿元，</w:t>
      </w:r>
      <w:r>
        <w:rPr>
          <w:rFonts w:hint="eastAsia" w:ascii="Times New Roman" w:hAnsi="Times New Roman" w:eastAsia="仿宋_GB2312"/>
          <w:color w:val="000000"/>
          <w:sz w:val="32"/>
          <w:szCs w:val="32"/>
        </w:rPr>
        <w:t>由中标</w:t>
      </w:r>
      <w:r>
        <w:rPr>
          <w:rFonts w:ascii="Times New Roman" w:hAnsi="Times New Roman" w:eastAsia="仿宋_GB2312"/>
          <w:color w:val="000000"/>
          <w:sz w:val="32"/>
          <w:szCs w:val="32"/>
        </w:rPr>
        <w:t>特许经营者</w:t>
      </w:r>
      <w:r>
        <w:rPr>
          <w:rFonts w:hint="eastAsia" w:ascii="Times New Roman" w:hAnsi="Times New Roman" w:eastAsia="仿宋_GB2312"/>
          <w:color w:val="000000"/>
          <w:sz w:val="32"/>
          <w:szCs w:val="32"/>
        </w:rPr>
        <w:t>筹集</w:t>
      </w:r>
      <w:r>
        <w:rPr>
          <w:rFonts w:ascii="Times New Roman" w:hAnsi="Times New Roman" w:eastAsia="仿宋_GB2312"/>
          <w:color w:val="000000"/>
          <w:sz w:val="32"/>
          <w:szCs w:val="32"/>
        </w:rPr>
        <w:t>；其余由项目公司向金融机构或银团融资筹措。</w:t>
      </w:r>
    </w:p>
    <w:p>
      <w:pPr>
        <w:pStyle w:val="3"/>
        <w:spacing w:before="0" w:after="0" w:line="580" w:lineRule="exact"/>
        <w:ind w:firstLine="643"/>
        <w:rPr>
          <w:rFonts w:ascii="Times New Roman" w:hAnsi="Times New Roman" w:eastAsia="仿宋_GB2312"/>
          <w:color w:val="000000"/>
        </w:rPr>
      </w:pPr>
      <w:bookmarkStart w:id="30" w:name="_Toc213322113"/>
      <w:r>
        <w:rPr>
          <w:rFonts w:ascii="Times New Roman" w:hAnsi="Times New Roman" w:eastAsia="仿宋_GB2312"/>
          <w:color w:val="000000"/>
        </w:rPr>
        <w:t>3.2项目收入</w:t>
      </w:r>
      <w:bookmarkEnd w:id="30"/>
    </w:p>
    <w:p>
      <w:pPr>
        <w:spacing w:line="58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经营性公路项目的营业收入包括车辆通行费收入、附属设施营业收入</w:t>
      </w:r>
      <w:r>
        <w:rPr>
          <w:rFonts w:ascii="Times New Roman" w:hAnsi="Times New Roman" w:eastAsia="仿宋_GB2312"/>
          <w:color w:val="000000"/>
          <w:sz w:val="32"/>
          <w:szCs w:val="32"/>
        </w:rPr>
        <w:t>。</w:t>
      </w:r>
    </w:p>
    <w:p>
      <w:pPr>
        <w:pStyle w:val="4"/>
        <w:spacing w:before="0" w:after="0" w:line="580" w:lineRule="exact"/>
        <w:ind w:firstLine="640"/>
        <w:rPr>
          <w:rFonts w:ascii="Times New Roman" w:hAnsi="Times New Roman" w:eastAsia="仿宋_GB2312"/>
          <w:color w:val="000000"/>
        </w:rPr>
      </w:pPr>
      <w:bookmarkStart w:id="31" w:name="_Toc213322114"/>
      <w:r>
        <w:rPr>
          <w:rFonts w:ascii="Times New Roman" w:hAnsi="Times New Roman" w:eastAsia="仿宋_GB2312"/>
          <w:color w:val="000000"/>
        </w:rPr>
        <w:t>3.2.1车辆通行费收入</w:t>
      </w:r>
      <w:bookmarkEnd w:id="31"/>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（1）预测交通量</w:t>
      </w:r>
    </w:p>
    <w:p>
      <w:pPr>
        <w:spacing w:line="580" w:lineRule="exact"/>
        <w:ind w:firstLine="640" w:firstLineChars="200"/>
        <w:rPr>
          <w:rFonts w:ascii="Times New Roman" w:hAnsi="Times New Roman" w:eastAsia="仿宋_GB2312"/>
          <w:color w:val="000000"/>
          <w:sz w:val="32"/>
          <w:szCs w:val="32"/>
          <w:lang w:val="ru-RU"/>
        </w:rPr>
      </w:pPr>
      <w:r>
        <w:rPr>
          <w:rFonts w:ascii="Times New Roman" w:hAnsi="Times New Roman" w:eastAsia="仿宋_GB2312"/>
          <w:color w:val="000000"/>
          <w:sz w:val="32"/>
          <w:szCs w:val="32"/>
        </w:rPr>
        <w:t>本项目预测通车</w:t>
      </w:r>
      <w:r>
        <w:rPr>
          <w:rFonts w:hint="eastAsia" w:ascii="Times New Roman" w:hAnsi="Times New Roman" w:eastAsia="仿宋_GB2312"/>
          <w:color w:val="000000"/>
          <w:sz w:val="32"/>
          <w:szCs w:val="32"/>
        </w:rPr>
        <w:t>初年</w:t>
      </w:r>
      <w:r>
        <w:rPr>
          <w:rFonts w:ascii="Times New Roman" w:hAnsi="Times New Roman" w:eastAsia="仿宋_GB2312"/>
          <w:color w:val="000000"/>
          <w:sz w:val="32"/>
          <w:szCs w:val="32"/>
        </w:rPr>
        <w:t>交通量</w:t>
      </w:r>
      <w:r>
        <w:rPr>
          <w:rFonts w:hint="eastAsia" w:ascii="Times New Roman" w:hAnsi="Times New Roman" w:eastAsia="仿宋_GB2312"/>
          <w:color w:val="000000"/>
          <w:sz w:val="32"/>
          <w:szCs w:val="32"/>
        </w:rPr>
        <w:t>约2.1万pcu</w:t>
      </w:r>
      <w:r>
        <w:rPr>
          <w:rFonts w:ascii="Times New Roman" w:hAnsi="Times New Roman" w:eastAsia="仿宋_GB2312"/>
          <w:color w:val="000000"/>
          <w:sz w:val="32"/>
          <w:szCs w:val="32"/>
        </w:rPr>
        <w:t>/d、第二十年</w:t>
      </w:r>
      <w:r>
        <w:rPr>
          <w:rFonts w:hint="eastAsia" w:ascii="Times New Roman" w:hAnsi="Times New Roman" w:eastAsia="仿宋_GB2312"/>
          <w:color w:val="000000"/>
          <w:sz w:val="32"/>
          <w:szCs w:val="32"/>
        </w:rPr>
        <w:t>约5.5万pcu</w:t>
      </w:r>
      <w:r>
        <w:rPr>
          <w:rFonts w:ascii="Times New Roman" w:hAnsi="Times New Roman" w:eastAsia="仿宋_GB2312"/>
          <w:color w:val="000000"/>
          <w:sz w:val="32"/>
          <w:szCs w:val="32"/>
        </w:rPr>
        <w:t>/d。</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（2）收费标准</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《收费公路管理条例》第十六条，车辆通行费的收费标准，应当根据公路的技术等级、投资总额、当地物价指数、偿还贷款期限和收回投资的期限以及交通量等因素计算确定。</w:t>
      </w:r>
    </w:p>
    <w:p>
      <w:pPr>
        <w:spacing w:line="580" w:lineRule="exact"/>
        <w:ind w:firstLine="640" w:firstLineChars="200"/>
        <w:rPr>
          <w:rFonts w:ascii="Times New Roman" w:hAnsi="Times New Roman"/>
          <w:color w:val="000000"/>
          <w:sz w:val="28"/>
        </w:rPr>
      </w:pPr>
      <w:r>
        <w:rPr>
          <w:rFonts w:ascii="Times New Roman" w:hAnsi="Times New Roman" w:eastAsia="仿宋_GB2312"/>
          <w:color w:val="000000"/>
          <w:sz w:val="32"/>
          <w:szCs w:val="32"/>
        </w:rPr>
        <w:t>根据本项目特点、投资规模、投资回收期等情况，测算时车辆通行费收费标准参照以往批复的收费标准，最终收费标准以省级政府相关部门批复为准。</w:t>
      </w:r>
    </w:p>
    <w:p>
      <w:pPr>
        <w:keepNext/>
        <w:widowControl/>
        <w:ind w:firstLine="562"/>
        <w:jc w:val="center"/>
        <w:rPr>
          <w:rFonts w:ascii="Times New Roman" w:hAnsi="Times New Roman"/>
          <w:color w:val="000000"/>
          <w:sz w:val="28"/>
        </w:rPr>
      </w:pPr>
      <w:r>
        <w:rPr>
          <w:rFonts w:ascii="Times New Roman" w:hAnsi="Times New Roman"/>
          <w:b/>
          <w:color w:val="000000"/>
          <w:kern w:val="0"/>
          <w:sz w:val="28"/>
          <w:szCs w:val="24"/>
        </w:rPr>
        <w:t>本项目收费标准</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91"/>
        <w:gridCol w:w="3841"/>
        <w:gridCol w:w="1625"/>
        <w:gridCol w:w="18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77" w:type="pct"/>
            <w:tcBorders>
              <w:top w:val="single" w:color="auto" w:sz="12" w:space="0"/>
              <w:bottom w:val="single" w:color="auto" w:sz="12" w:space="0"/>
            </w:tcBorders>
            <w:noWrap/>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类别</w:t>
            </w:r>
          </w:p>
        </w:tc>
        <w:tc>
          <w:tcPr>
            <w:tcW w:w="602" w:type="pct"/>
            <w:tcBorders>
              <w:top w:val="single" w:color="auto" w:sz="12" w:space="0"/>
              <w:bottom w:val="single" w:color="auto" w:sz="12" w:space="0"/>
            </w:tcBorders>
            <w:noWrap/>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车型</w:t>
            </w:r>
          </w:p>
        </w:tc>
        <w:tc>
          <w:tcPr>
            <w:tcW w:w="2120" w:type="pct"/>
            <w:tcBorders>
              <w:top w:val="single" w:color="auto" w:sz="12" w:space="0"/>
              <w:bottom w:val="single" w:color="auto" w:sz="12" w:space="0"/>
            </w:tcBorders>
            <w:noWrap/>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特点</w:t>
            </w:r>
          </w:p>
        </w:tc>
        <w:tc>
          <w:tcPr>
            <w:tcW w:w="897" w:type="pct"/>
            <w:tcBorders>
              <w:top w:val="single" w:color="auto" w:sz="12" w:space="0"/>
              <w:bottom w:val="single" w:color="auto" w:sz="12" w:space="0"/>
            </w:tcBorders>
            <w:noWrap/>
            <w:vAlign w:val="center"/>
          </w:tcPr>
          <w:p>
            <w:pPr>
              <w:widowControl/>
              <w:adjustRightInd w:val="0"/>
              <w:snapToGrid w:val="0"/>
              <w:jc w:val="center"/>
              <w:rPr>
                <w:rFonts w:ascii="Times New Roman" w:hAnsi="Times New Roman"/>
                <w:b/>
                <w:color w:val="000000"/>
                <w:kern w:val="0"/>
                <w:szCs w:val="21"/>
              </w:rPr>
            </w:pPr>
            <w:r>
              <w:rPr>
                <w:rFonts w:ascii="Times New Roman" w:hAnsi="Times New Roman"/>
                <w:b/>
                <w:color w:val="000000"/>
                <w:kern w:val="0"/>
                <w:szCs w:val="21"/>
              </w:rPr>
              <w:t>路段收费标准</w:t>
            </w:r>
          </w:p>
          <w:p>
            <w:pPr>
              <w:pStyle w:val="14"/>
              <w:adjustRightInd w:val="0"/>
              <w:ind w:firstLine="0" w:firstLineChars="0"/>
              <w:jc w:val="center"/>
              <w:rPr>
                <w:rFonts w:ascii="Times New Roman" w:hAnsi="Times New Roman" w:eastAsia="仿宋"/>
                <w:b/>
                <w:color w:val="000000"/>
                <w:szCs w:val="21"/>
              </w:rPr>
            </w:pPr>
            <w:r>
              <w:rPr>
                <w:rFonts w:ascii="Times New Roman" w:hAnsi="Times New Roman" w:eastAsia="仿宋"/>
                <w:b/>
                <w:color w:val="000000"/>
                <w:szCs w:val="21"/>
              </w:rPr>
              <w:t>（元/车公里）</w:t>
            </w:r>
          </w:p>
        </w:tc>
        <w:tc>
          <w:tcPr>
            <w:tcW w:w="1004" w:type="pct"/>
            <w:tcBorders>
              <w:top w:val="single" w:color="auto" w:sz="12" w:space="0"/>
              <w:bottom w:val="single" w:color="auto" w:sz="12" w:space="0"/>
            </w:tcBorders>
            <w:noWrap w:val="0"/>
            <w:vAlign w:val="center"/>
          </w:tcPr>
          <w:p>
            <w:pPr>
              <w:widowControl/>
              <w:adjustRightInd w:val="0"/>
              <w:snapToGrid w:val="0"/>
              <w:jc w:val="center"/>
              <w:rPr>
                <w:rFonts w:ascii="Times New Roman" w:hAnsi="Times New Roman"/>
                <w:b/>
                <w:color w:val="000000"/>
                <w:kern w:val="0"/>
                <w:szCs w:val="21"/>
              </w:rPr>
            </w:pPr>
            <w:r>
              <w:rPr>
                <w:rFonts w:ascii="Times New Roman" w:hAnsi="Times New Roman"/>
                <w:b/>
                <w:color w:val="000000"/>
                <w:kern w:val="0"/>
                <w:szCs w:val="21"/>
              </w:rPr>
              <w:t>桥隧通行费</w:t>
            </w:r>
          </w:p>
          <w:p>
            <w:pPr>
              <w:widowControl/>
              <w:adjustRightInd w:val="0"/>
              <w:snapToGrid w:val="0"/>
              <w:jc w:val="center"/>
              <w:rPr>
                <w:rFonts w:ascii="Times New Roman" w:hAnsi="Times New Roman"/>
                <w:b/>
                <w:color w:val="000000"/>
                <w:kern w:val="0"/>
                <w:szCs w:val="21"/>
              </w:rPr>
            </w:pPr>
            <w:r>
              <w:rPr>
                <w:rFonts w:ascii="Times New Roman" w:hAnsi="Times New Roman"/>
                <w:b/>
                <w:color w:val="000000"/>
                <w:kern w:val="0"/>
                <w:szCs w:val="21"/>
              </w:rPr>
              <w:t>（元/辆</w:t>
            </w:r>
            <w:r>
              <w:rPr>
                <w:rFonts w:ascii="Times New Roman" w:hAnsi="Times New Roman" w:eastAsia="微软雅黑"/>
                <w:b/>
                <w:color w:val="000000"/>
                <w:kern w:val="0"/>
                <w:szCs w:val="21"/>
              </w:rPr>
              <w:t>•</w:t>
            </w:r>
            <w:r>
              <w:rPr>
                <w:rFonts w:ascii="Times New Roman" w:hAnsi="Times New Roman"/>
                <w:b/>
                <w:color w:val="000000"/>
                <w:kern w:val="0"/>
                <w:szCs w:val="21"/>
              </w:rPr>
              <w:t>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7" w:type="pct"/>
            <w:vMerge w:val="restart"/>
            <w:tcBorders>
              <w:top w:val="single" w:color="auto" w:sz="12" w:space="0"/>
            </w:tcBorders>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客车</w:t>
            </w:r>
          </w:p>
        </w:tc>
        <w:tc>
          <w:tcPr>
            <w:tcW w:w="602" w:type="pct"/>
            <w:tcBorders>
              <w:top w:val="single" w:color="auto" w:sz="12" w:space="0"/>
            </w:tcBorders>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第1类</w:t>
            </w:r>
          </w:p>
        </w:tc>
        <w:tc>
          <w:tcPr>
            <w:tcW w:w="2120" w:type="pct"/>
            <w:tcBorders>
              <w:top w:val="single" w:color="auto" w:sz="12" w:space="0"/>
            </w:tcBorders>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≤9座</w:t>
            </w:r>
          </w:p>
        </w:tc>
        <w:tc>
          <w:tcPr>
            <w:tcW w:w="897" w:type="pct"/>
            <w:tcBorders>
              <w:top w:val="single" w:color="auto" w:sz="12" w:space="0"/>
            </w:tcBorders>
            <w:noWrap/>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0.5</w:t>
            </w:r>
          </w:p>
        </w:tc>
        <w:tc>
          <w:tcPr>
            <w:tcW w:w="1004" w:type="pct"/>
            <w:tcBorders>
              <w:top w:val="single" w:color="auto" w:sz="12" w:space="0"/>
            </w:tcBorders>
            <w:noWrap w:val="0"/>
            <w:vAlign w:val="center"/>
          </w:tcPr>
          <w:p>
            <w:pPr>
              <w:widowControl/>
              <w:jc w:val="center"/>
              <w:rPr>
                <w:rFonts w:ascii="Times New Roman" w:hAnsi="Times New Roman"/>
                <w:color w:val="000000"/>
                <w:kern w:val="0"/>
                <w:sz w:val="24"/>
                <w:szCs w:val="24"/>
              </w:rPr>
            </w:pPr>
            <w:r>
              <w:rPr>
                <w:rFonts w:ascii="Times New Roman" w:hAnsi="Times New Roman"/>
                <w:kern w:val="0"/>
                <w:sz w:val="24"/>
                <w:szCs w:val="24"/>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7" w:type="pct"/>
            <w:vMerge w:val="continue"/>
            <w:noWrap w:val="0"/>
            <w:vAlign w:val="center"/>
          </w:tcPr>
          <w:p>
            <w:pPr>
              <w:widowControl/>
              <w:jc w:val="center"/>
              <w:rPr>
                <w:rFonts w:ascii="Times New Roman" w:hAnsi="Times New Roman"/>
                <w:color w:val="000000"/>
                <w:kern w:val="0"/>
                <w:sz w:val="24"/>
                <w:szCs w:val="21"/>
              </w:rPr>
            </w:pPr>
          </w:p>
        </w:tc>
        <w:tc>
          <w:tcPr>
            <w:tcW w:w="602"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第2类</w:t>
            </w:r>
          </w:p>
        </w:tc>
        <w:tc>
          <w:tcPr>
            <w:tcW w:w="2120"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10~19座</w:t>
            </w:r>
          </w:p>
        </w:tc>
        <w:tc>
          <w:tcPr>
            <w:tcW w:w="897" w:type="pct"/>
            <w:noWrap/>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0.8</w:t>
            </w:r>
          </w:p>
        </w:tc>
        <w:tc>
          <w:tcPr>
            <w:tcW w:w="1004" w:type="pct"/>
            <w:noWrap w:val="0"/>
            <w:vAlign w:val="center"/>
          </w:tcPr>
          <w:p>
            <w:pPr>
              <w:widowControl/>
              <w:jc w:val="center"/>
              <w:rPr>
                <w:rFonts w:ascii="Times New Roman" w:hAnsi="Times New Roman"/>
                <w:color w:val="000000"/>
                <w:kern w:val="0"/>
                <w:sz w:val="24"/>
                <w:szCs w:val="24"/>
              </w:rPr>
            </w:pPr>
            <w:r>
              <w:rPr>
                <w:rFonts w:ascii="Times New Roman" w:hAnsi="Times New Roman"/>
                <w:kern w:val="0"/>
                <w:sz w:val="24"/>
                <w:szCs w:val="24"/>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7" w:type="pct"/>
            <w:vMerge w:val="continue"/>
            <w:noWrap w:val="0"/>
            <w:vAlign w:val="center"/>
          </w:tcPr>
          <w:p>
            <w:pPr>
              <w:widowControl/>
              <w:jc w:val="center"/>
              <w:rPr>
                <w:rFonts w:ascii="Times New Roman" w:hAnsi="Times New Roman"/>
                <w:color w:val="000000"/>
                <w:kern w:val="0"/>
                <w:sz w:val="24"/>
                <w:szCs w:val="21"/>
              </w:rPr>
            </w:pPr>
          </w:p>
        </w:tc>
        <w:tc>
          <w:tcPr>
            <w:tcW w:w="602"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第3类</w:t>
            </w:r>
          </w:p>
        </w:tc>
        <w:tc>
          <w:tcPr>
            <w:tcW w:w="2120"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20≤39座</w:t>
            </w:r>
          </w:p>
        </w:tc>
        <w:tc>
          <w:tcPr>
            <w:tcW w:w="897" w:type="pct"/>
            <w:noWrap/>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1</w:t>
            </w:r>
          </w:p>
        </w:tc>
        <w:tc>
          <w:tcPr>
            <w:tcW w:w="1004" w:type="pct"/>
            <w:noWrap w:val="0"/>
            <w:vAlign w:val="center"/>
          </w:tcPr>
          <w:p>
            <w:pPr>
              <w:widowControl/>
              <w:jc w:val="center"/>
              <w:rPr>
                <w:rFonts w:ascii="Times New Roman" w:hAnsi="Times New Roman"/>
                <w:color w:val="000000"/>
                <w:kern w:val="0"/>
                <w:sz w:val="24"/>
                <w:szCs w:val="24"/>
              </w:rPr>
            </w:pPr>
            <w:r>
              <w:rPr>
                <w:rFonts w:ascii="Times New Roman" w:hAnsi="Times New Roman"/>
                <w:kern w:val="0"/>
                <w:sz w:val="24"/>
                <w:szCs w:val="24"/>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7" w:type="pct"/>
            <w:vMerge w:val="continue"/>
            <w:noWrap w:val="0"/>
            <w:vAlign w:val="center"/>
          </w:tcPr>
          <w:p>
            <w:pPr>
              <w:widowControl/>
              <w:jc w:val="center"/>
              <w:rPr>
                <w:rFonts w:ascii="Times New Roman" w:hAnsi="Times New Roman"/>
                <w:color w:val="000000"/>
                <w:kern w:val="0"/>
                <w:sz w:val="24"/>
                <w:szCs w:val="21"/>
              </w:rPr>
            </w:pPr>
          </w:p>
        </w:tc>
        <w:tc>
          <w:tcPr>
            <w:tcW w:w="602"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第4类</w:t>
            </w:r>
          </w:p>
        </w:tc>
        <w:tc>
          <w:tcPr>
            <w:tcW w:w="2120"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≥40座</w:t>
            </w:r>
          </w:p>
        </w:tc>
        <w:tc>
          <w:tcPr>
            <w:tcW w:w="897" w:type="pct"/>
            <w:noWrap/>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1.2</w:t>
            </w:r>
          </w:p>
        </w:tc>
        <w:tc>
          <w:tcPr>
            <w:tcW w:w="1004" w:type="pct"/>
            <w:noWrap w:val="0"/>
            <w:vAlign w:val="center"/>
          </w:tcPr>
          <w:p>
            <w:pPr>
              <w:widowControl/>
              <w:jc w:val="center"/>
              <w:rPr>
                <w:rFonts w:ascii="Times New Roman" w:hAnsi="Times New Roman"/>
                <w:color w:val="000000"/>
                <w:kern w:val="0"/>
                <w:sz w:val="24"/>
                <w:szCs w:val="24"/>
              </w:rPr>
            </w:pPr>
            <w:r>
              <w:rPr>
                <w:rFonts w:ascii="Times New Roman" w:hAnsi="Times New Roman"/>
                <w:kern w:val="0"/>
                <w:sz w:val="24"/>
                <w:szCs w:val="24"/>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7" w:type="pct"/>
            <w:vMerge w:val="restar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货车</w:t>
            </w:r>
          </w:p>
        </w:tc>
        <w:tc>
          <w:tcPr>
            <w:tcW w:w="602"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第1类</w:t>
            </w:r>
          </w:p>
        </w:tc>
        <w:tc>
          <w:tcPr>
            <w:tcW w:w="2120"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2轴（车长小于6000mm且最大允许总质量小于4500kg）</w:t>
            </w:r>
          </w:p>
        </w:tc>
        <w:tc>
          <w:tcPr>
            <w:tcW w:w="897" w:type="pct"/>
            <w:noWrap/>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0.55</w:t>
            </w:r>
          </w:p>
        </w:tc>
        <w:tc>
          <w:tcPr>
            <w:tcW w:w="1004" w:type="pct"/>
            <w:noWrap w:val="0"/>
            <w:vAlign w:val="center"/>
          </w:tcPr>
          <w:p>
            <w:pPr>
              <w:widowControl/>
              <w:jc w:val="center"/>
              <w:rPr>
                <w:rFonts w:ascii="Times New Roman" w:hAnsi="Times New Roman"/>
                <w:color w:val="000000"/>
                <w:kern w:val="0"/>
                <w:sz w:val="24"/>
                <w:szCs w:val="24"/>
              </w:rPr>
            </w:pPr>
            <w:r>
              <w:rPr>
                <w:rFonts w:ascii="Times New Roman" w:hAnsi="Times New Roman"/>
                <w:kern w:val="0"/>
                <w:sz w:val="24"/>
                <w:szCs w:val="24"/>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7" w:type="pct"/>
            <w:vMerge w:val="continue"/>
            <w:noWrap/>
            <w:vAlign w:val="center"/>
          </w:tcPr>
          <w:p>
            <w:pPr>
              <w:widowControl/>
              <w:jc w:val="center"/>
              <w:rPr>
                <w:rFonts w:ascii="Times New Roman" w:hAnsi="Times New Roman"/>
                <w:color w:val="000000"/>
                <w:kern w:val="0"/>
                <w:sz w:val="24"/>
                <w:szCs w:val="21"/>
              </w:rPr>
            </w:pPr>
          </w:p>
        </w:tc>
        <w:tc>
          <w:tcPr>
            <w:tcW w:w="602"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第2类</w:t>
            </w:r>
          </w:p>
        </w:tc>
        <w:tc>
          <w:tcPr>
            <w:tcW w:w="2120"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2轴（车长不小于6000mm且最大允许总质量不小于4500kg）</w:t>
            </w:r>
          </w:p>
        </w:tc>
        <w:tc>
          <w:tcPr>
            <w:tcW w:w="897" w:type="pct"/>
            <w:noWrap/>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1.7</w:t>
            </w:r>
          </w:p>
        </w:tc>
        <w:tc>
          <w:tcPr>
            <w:tcW w:w="1004" w:type="pct"/>
            <w:noWrap w:val="0"/>
            <w:vAlign w:val="center"/>
          </w:tcPr>
          <w:p>
            <w:pPr>
              <w:widowControl/>
              <w:jc w:val="center"/>
              <w:rPr>
                <w:rFonts w:ascii="Times New Roman" w:hAnsi="Times New Roman"/>
                <w:color w:val="000000"/>
                <w:kern w:val="0"/>
                <w:sz w:val="24"/>
                <w:szCs w:val="24"/>
              </w:rPr>
            </w:pPr>
            <w:r>
              <w:rPr>
                <w:rFonts w:ascii="Times New Roman" w:hAnsi="Times New Roman"/>
                <w:kern w:val="0"/>
                <w:sz w:val="24"/>
                <w:szCs w:val="24"/>
              </w:rPr>
              <w:t>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7" w:type="pct"/>
            <w:vMerge w:val="continue"/>
            <w:noWrap/>
            <w:vAlign w:val="center"/>
          </w:tcPr>
          <w:p>
            <w:pPr>
              <w:widowControl/>
              <w:jc w:val="center"/>
              <w:rPr>
                <w:rFonts w:ascii="Times New Roman" w:hAnsi="Times New Roman"/>
                <w:color w:val="000000"/>
                <w:kern w:val="0"/>
                <w:sz w:val="24"/>
                <w:szCs w:val="21"/>
              </w:rPr>
            </w:pPr>
          </w:p>
        </w:tc>
        <w:tc>
          <w:tcPr>
            <w:tcW w:w="602"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第3类</w:t>
            </w:r>
          </w:p>
        </w:tc>
        <w:tc>
          <w:tcPr>
            <w:tcW w:w="2120"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3轴</w:t>
            </w:r>
          </w:p>
        </w:tc>
        <w:tc>
          <w:tcPr>
            <w:tcW w:w="897" w:type="pct"/>
            <w:noWrap/>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2.0</w:t>
            </w:r>
          </w:p>
        </w:tc>
        <w:tc>
          <w:tcPr>
            <w:tcW w:w="1004" w:type="pct"/>
            <w:noWrap w:val="0"/>
            <w:vAlign w:val="center"/>
          </w:tcPr>
          <w:p>
            <w:pPr>
              <w:widowControl/>
              <w:jc w:val="center"/>
              <w:rPr>
                <w:rFonts w:ascii="Times New Roman" w:hAnsi="Times New Roman"/>
                <w:color w:val="000000"/>
                <w:kern w:val="0"/>
                <w:sz w:val="24"/>
                <w:szCs w:val="24"/>
              </w:rPr>
            </w:pPr>
            <w:r>
              <w:rPr>
                <w:rFonts w:ascii="Times New Roman" w:hAnsi="Times New Roman"/>
                <w:kern w:val="0"/>
                <w:sz w:val="24"/>
                <w:szCs w:val="24"/>
              </w:rPr>
              <w:t>115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7" w:type="pct"/>
            <w:vMerge w:val="continue"/>
            <w:noWrap/>
            <w:vAlign w:val="center"/>
          </w:tcPr>
          <w:p>
            <w:pPr>
              <w:widowControl/>
              <w:jc w:val="center"/>
              <w:rPr>
                <w:rFonts w:ascii="Times New Roman" w:hAnsi="Times New Roman"/>
                <w:color w:val="000000"/>
                <w:kern w:val="0"/>
                <w:sz w:val="24"/>
                <w:szCs w:val="21"/>
              </w:rPr>
            </w:pPr>
          </w:p>
        </w:tc>
        <w:tc>
          <w:tcPr>
            <w:tcW w:w="602"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第4类</w:t>
            </w:r>
          </w:p>
        </w:tc>
        <w:tc>
          <w:tcPr>
            <w:tcW w:w="2120"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4轴</w:t>
            </w:r>
          </w:p>
        </w:tc>
        <w:tc>
          <w:tcPr>
            <w:tcW w:w="897" w:type="pct"/>
            <w:noWrap/>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2.3</w:t>
            </w:r>
          </w:p>
        </w:tc>
        <w:tc>
          <w:tcPr>
            <w:tcW w:w="1004" w:type="pct"/>
            <w:noWrap w:val="0"/>
            <w:vAlign w:val="center"/>
          </w:tcPr>
          <w:p>
            <w:pPr>
              <w:widowControl/>
              <w:jc w:val="center"/>
              <w:rPr>
                <w:rFonts w:ascii="Times New Roman" w:hAnsi="Times New Roman"/>
                <w:color w:val="000000"/>
                <w:kern w:val="0"/>
                <w:sz w:val="24"/>
                <w:szCs w:val="24"/>
              </w:rPr>
            </w:pPr>
            <w:r>
              <w:rPr>
                <w:rFonts w:ascii="Times New Roman" w:hAnsi="Times New Roman"/>
                <w:kern w:val="0"/>
                <w:sz w:val="24"/>
                <w:szCs w:val="24"/>
              </w:rPr>
              <w:t>135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7" w:type="pct"/>
            <w:vMerge w:val="continue"/>
            <w:noWrap/>
            <w:vAlign w:val="center"/>
          </w:tcPr>
          <w:p>
            <w:pPr>
              <w:widowControl/>
              <w:jc w:val="center"/>
              <w:rPr>
                <w:rFonts w:ascii="Times New Roman" w:hAnsi="Times New Roman"/>
                <w:color w:val="000000"/>
                <w:kern w:val="0"/>
                <w:sz w:val="24"/>
                <w:szCs w:val="21"/>
              </w:rPr>
            </w:pPr>
          </w:p>
        </w:tc>
        <w:tc>
          <w:tcPr>
            <w:tcW w:w="602"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第5类</w:t>
            </w:r>
          </w:p>
        </w:tc>
        <w:tc>
          <w:tcPr>
            <w:tcW w:w="2120"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5轴</w:t>
            </w:r>
          </w:p>
        </w:tc>
        <w:tc>
          <w:tcPr>
            <w:tcW w:w="897" w:type="pct"/>
            <w:noWrap/>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2.6</w:t>
            </w:r>
          </w:p>
        </w:tc>
        <w:tc>
          <w:tcPr>
            <w:tcW w:w="1004" w:type="pct"/>
            <w:noWrap w:val="0"/>
            <w:vAlign w:val="center"/>
          </w:tcPr>
          <w:p>
            <w:pPr>
              <w:widowControl/>
              <w:jc w:val="center"/>
              <w:rPr>
                <w:rFonts w:ascii="Times New Roman" w:hAnsi="Times New Roman"/>
                <w:color w:val="000000"/>
                <w:kern w:val="0"/>
                <w:sz w:val="24"/>
                <w:szCs w:val="24"/>
              </w:rPr>
            </w:pPr>
            <w:r>
              <w:rPr>
                <w:rFonts w:ascii="Times New Roman" w:hAnsi="Times New Roman"/>
                <w:kern w:val="0"/>
                <w:sz w:val="24"/>
                <w:szCs w:val="24"/>
              </w:rPr>
              <w:t>150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7" w:type="pct"/>
            <w:vMerge w:val="continue"/>
            <w:noWrap/>
            <w:vAlign w:val="center"/>
          </w:tcPr>
          <w:p>
            <w:pPr>
              <w:widowControl/>
              <w:jc w:val="center"/>
              <w:rPr>
                <w:rFonts w:ascii="Times New Roman" w:hAnsi="Times New Roman"/>
                <w:color w:val="000000"/>
                <w:kern w:val="0"/>
                <w:sz w:val="24"/>
                <w:szCs w:val="21"/>
              </w:rPr>
            </w:pPr>
          </w:p>
        </w:tc>
        <w:tc>
          <w:tcPr>
            <w:tcW w:w="602"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第6类</w:t>
            </w:r>
          </w:p>
        </w:tc>
        <w:tc>
          <w:tcPr>
            <w:tcW w:w="2120" w:type="pct"/>
            <w:noWrap/>
            <w:vAlign w:val="center"/>
          </w:tcPr>
          <w:p>
            <w:pPr>
              <w:widowControl/>
              <w:jc w:val="center"/>
              <w:rPr>
                <w:rFonts w:ascii="Times New Roman" w:hAnsi="Times New Roman"/>
                <w:color w:val="000000"/>
                <w:kern w:val="0"/>
                <w:sz w:val="24"/>
                <w:szCs w:val="21"/>
              </w:rPr>
            </w:pPr>
            <w:r>
              <w:rPr>
                <w:rFonts w:ascii="Times New Roman" w:hAnsi="Times New Roman"/>
                <w:color w:val="000000"/>
                <w:kern w:val="0"/>
                <w:sz w:val="24"/>
                <w:szCs w:val="21"/>
              </w:rPr>
              <w:t>6轴</w:t>
            </w:r>
          </w:p>
        </w:tc>
        <w:tc>
          <w:tcPr>
            <w:tcW w:w="897" w:type="pct"/>
            <w:noWrap/>
            <w:vAlign w:val="center"/>
          </w:tcPr>
          <w:p>
            <w:pPr>
              <w:widowControl/>
              <w:jc w:val="center"/>
              <w:rPr>
                <w:rFonts w:ascii="Times New Roman" w:hAnsi="Times New Roman"/>
                <w:color w:val="000000"/>
                <w:kern w:val="0"/>
                <w:sz w:val="24"/>
                <w:szCs w:val="24"/>
              </w:rPr>
            </w:pPr>
            <w:r>
              <w:rPr>
                <w:rFonts w:ascii="Times New Roman" w:hAnsi="Times New Roman"/>
                <w:color w:val="000000"/>
                <w:kern w:val="0"/>
                <w:sz w:val="24"/>
                <w:szCs w:val="24"/>
              </w:rPr>
              <w:t>2.8</w:t>
            </w:r>
          </w:p>
        </w:tc>
        <w:tc>
          <w:tcPr>
            <w:tcW w:w="1004" w:type="pct"/>
            <w:noWrap w:val="0"/>
            <w:vAlign w:val="center"/>
          </w:tcPr>
          <w:p>
            <w:pPr>
              <w:widowControl/>
              <w:jc w:val="center"/>
              <w:rPr>
                <w:rFonts w:ascii="Times New Roman" w:hAnsi="Times New Roman"/>
                <w:color w:val="000000"/>
                <w:kern w:val="0"/>
                <w:sz w:val="24"/>
                <w:szCs w:val="24"/>
              </w:rPr>
            </w:pPr>
            <w:r>
              <w:rPr>
                <w:rFonts w:ascii="Times New Roman" w:hAnsi="Times New Roman"/>
                <w:kern w:val="0"/>
                <w:sz w:val="24"/>
                <w:szCs w:val="24"/>
              </w:rPr>
              <w:t>165</w:t>
            </w:r>
          </w:p>
        </w:tc>
      </w:tr>
    </w:tbl>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（3）免征率</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参考我省高速公路相关统计数据，本项目免征率取</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w:t>
      </w:r>
    </w:p>
    <w:p>
      <w:pPr>
        <w:pStyle w:val="4"/>
        <w:spacing w:before="0" w:after="0" w:line="580" w:lineRule="exact"/>
        <w:ind w:firstLine="640"/>
        <w:rPr>
          <w:rFonts w:ascii="Times New Roman" w:hAnsi="Times New Roman" w:eastAsia="仿宋_GB2312"/>
          <w:color w:val="000000"/>
        </w:rPr>
      </w:pPr>
      <w:bookmarkStart w:id="32" w:name="_Toc213322115"/>
      <w:r>
        <w:rPr>
          <w:rFonts w:ascii="Times New Roman" w:hAnsi="Times New Roman" w:eastAsia="仿宋_GB2312"/>
          <w:color w:val="000000"/>
        </w:rPr>
        <w:t>3.2.2其他业务收入</w:t>
      </w:r>
      <w:bookmarkEnd w:id="32"/>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本项目附属设施经营取得的其他业务收入主要为服务区加油站租赁收入及广告收入。</w:t>
      </w:r>
    </w:p>
    <w:p>
      <w:pPr>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本项目包含1处双侧服务区，各设加油站1处，按照经营租赁方式运营，租金约每年100万元/处；收费站及服务区进出口各设置1处广告牌，每处5万/年。以后年度每五年增长5%。</w:t>
      </w:r>
    </w:p>
    <w:p>
      <w:pPr>
        <w:pStyle w:val="3"/>
        <w:spacing w:before="0" w:after="0" w:line="580" w:lineRule="exact"/>
        <w:ind w:firstLine="643"/>
        <w:rPr>
          <w:rFonts w:ascii="Times New Roman" w:hAnsi="Times New Roman" w:eastAsia="仿宋_GB2312"/>
          <w:color w:val="000000"/>
        </w:rPr>
      </w:pPr>
      <w:bookmarkStart w:id="33" w:name="_Toc213322116"/>
      <w:r>
        <w:rPr>
          <w:rFonts w:ascii="Times New Roman" w:hAnsi="Times New Roman" w:eastAsia="仿宋_GB2312"/>
          <w:color w:val="000000"/>
        </w:rPr>
        <w:t>3.3项目成本</w:t>
      </w:r>
      <w:bookmarkEnd w:id="33"/>
    </w:p>
    <w:p>
      <w:pPr>
        <w:pStyle w:val="4"/>
        <w:spacing w:before="0" w:after="0" w:line="580" w:lineRule="exact"/>
        <w:ind w:firstLine="640"/>
        <w:rPr>
          <w:rFonts w:ascii="Times New Roman" w:hAnsi="Times New Roman" w:eastAsia="仿宋_GB2312"/>
          <w:color w:val="000000"/>
        </w:rPr>
      </w:pPr>
      <w:bookmarkStart w:id="34" w:name="_Toc213322117"/>
      <w:r>
        <w:rPr>
          <w:rFonts w:ascii="Times New Roman" w:hAnsi="Times New Roman" w:eastAsia="仿宋_GB2312"/>
          <w:color w:val="000000"/>
        </w:rPr>
        <w:t>3.3.1运营成本</w:t>
      </w:r>
      <w:bookmarkEnd w:id="34"/>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项目年度运营成本主要包括项目公司运营管理费用、日常养护费用、大中修费用等。运营管理费用初年取值为</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0万元/公里；日常养护费在通车第一、三、六年按5、10、30万元/公里；项目通车后第5年进行中修，费用1</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0万元/公里，此后每十年中修一次；通车后第10年进行大修，费用</w:t>
      </w:r>
      <w:r>
        <w:rPr>
          <w:rFonts w:hint="eastAsia" w:ascii="Times New Roman" w:hAnsi="Times New Roman" w:eastAsia="仿宋_GB2312"/>
          <w:color w:val="000000"/>
          <w:sz w:val="32"/>
          <w:szCs w:val="32"/>
        </w:rPr>
        <w:t>30</w:t>
      </w:r>
      <w:r>
        <w:rPr>
          <w:rFonts w:ascii="Times New Roman" w:hAnsi="Times New Roman" w:eastAsia="仿宋_GB2312"/>
          <w:color w:val="000000"/>
          <w:sz w:val="32"/>
          <w:szCs w:val="32"/>
        </w:rPr>
        <w:t>0万元/公里，此后每十年大修一次，大修当年日常养护费减半；各种费用年增长率均为3%。</w:t>
      </w:r>
    </w:p>
    <w:p>
      <w:pPr>
        <w:pStyle w:val="4"/>
        <w:spacing w:before="0" w:after="0" w:line="580" w:lineRule="exact"/>
        <w:ind w:firstLine="640"/>
        <w:rPr>
          <w:rFonts w:ascii="Times New Roman" w:hAnsi="Times New Roman" w:eastAsia="仿宋_GB2312"/>
          <w:color w:val="000000"/>
        </w:rPr>
      </w:pPr>
      <w:bookmarkStart w:id="35" w:name="_Toc213322118"/>
      <w:r>
        <w:rPr>
          <w:rFonts w:ascii="Times New Roman" w:hAnsi="Times New Roman" w:eastAsia="仿宋_GB2312"/>
          <w:color w:val="000000"/>
        </w:rPr>
        <w:t>3.3.2财务成本</w:t>
      </w:r>
      <w:bookmarkEnd w:id="35"/>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本项目建设期申请银行长期贷款约</w:t>
      </w:r>
      <w:r>
        <w:rPr>
          <w:rFonts w:hint="eastAsia" w:ascii="Times New Roman" w:hAnsi="Times New Roman" w:eastAsia="仿宋_GB2312"/>
          <w:color w:val="000000"/>
          <w:sz w:val="32"/>
          <w:szCs w:val="32"/>
        </w:rPr>
        <w:t>99.85</w:t>
      </w:r>
      <w:r>
        <w:rPr>
          <w:rFonts w:ascii="Times New Roman" w:hAnsi="Times New Roman" w:eastAsia="仿宋_GB2312"/>
          <w:color w:val="000000"/>
          <w:sz w:val="32"/>
          <w:szCs w:val="32"/>
        </w:rPr>
        <w:t>亿元，长期贷款利率为3.</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%，拟按照</w:t>
      </w:r>
      <w:r>
        <w:rPr>
          <w:rFonts w:hint="eastAsia" w:ascii="Times New Roman" w:hAnsi="Times New Roman" w:eastAsia="仿宋_GB2312"/>
          <w:color w:val="000000"/>
          <w:sz w:val="32"/>
          <w:szCs w:val="32"/>
        </w:rPr>
        <w:t>等额本息</w:t>
      </w:r>
      <w:r>
        <w:rPr>
          <w:rFonts w:ascii="Times New Roman" w:hAnsi="Times New Roman" w:eastAsia="仿宋_GB2312"/>
          <w:color w:val="000000"/>
          <w:sz w:val="32"/>
          <w:szCs w:val="32"/>
        </w:rPr>
        <w:t>偿还进行测算。</w:t>
      </w:r>
      <w:r>
        <w:rPr>
          <w:rFonts w:hint="eastAsia" w:ascii="Times New Roman" w:hAnsi="Times New Roman" w:eastAsia="仿宋_GB2312"/>
          <w:color w:val="000000"/>
          <w:sz w:val="32"/>
          <w:szCs w:val="32"/>
        </w:rPr>
        <w:t>经营出现资金缺口时，使用短期借款补足，短期贷款利率为3.0%。</w:t>
      </w:r>
    </w:p>
    <w:p>
      <w:pPr>
        <w:pStyle w:val="4"/>
        <w:spacing w:before="0" w:after="0" w:line="580" w:lineRule="exact"/>
        <w:ind w:firstLine="640"/>
        <w:rPr>
          <w:rFonts w:ascii="Times New Roman" w:hAnsi="Times New Roman" w:eastAsia="仿宋_GB2312"/>
          <w:color w:val="000000"/>
        </w:rPr>
      </w:pPr>
      <w:bookmarkStart w:id="36" w:name="_Toc213322119"/>
      <w:r>
        <w:rPr>
          <w:rFonts w:ascii="Times New Roman" w:hAnsi="Times New Roman" w:eastAsia="仿宋_GB2312"/>
          <w:color w:val="000000"/>
        </w:rPr>
        <w:t>3.3.3相关税费</w:t>
      </w:r>
      <w:bookmarkEnd w:id="36"/>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（1）增值税</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按照增值税一般纳税人一般计税方法计算，高速公路车辆通行费增值税税率9%。</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（2）增值税附加</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增值税附加包括城市维护建设税、教育费附加和地方教育费附加。其中：城市维护建设税按增值税的7%计征；教育费附加按增值税的3%计征；地方教育费附加按增值税的2%计征。</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（3）企业所得税</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本项目所得税税率按25%计。</w:t>
      </w:r>
    </w:p>
    <w:p>
      <w:pPr>
        <w:pStyle w:val="3"/>
        <w:spacing w:before="0" w:after="0" w:line="580" w:lineRule="exact"/>
        <w:ind w:firstLine="643"/>
        <w:rPr>
          <w:rFonts w:ascii="Times New Roman" w:hAnsi="Times New Roman" w:eastAsia="仿宋_GB2312"/>
          <w:color w:val="000000"/>
        </w:rPr>
      </w:pPr>
      <w:bookmarkStart w:id="37" w:name="_Toc213322120"/>
      <w:r>
        <w:rPr>
          <w:rFonts w:ascii="Times New Roman" w:hAnsi="Times New Roman" w:eastAsia="仿宋_GB2312"/>
          <w:color w:val="000000"/>
        </w:rPr>
        <w:t>3.4效益测算</w:t>
      </w:r>
      <w:bookmarkEnd w:id="37"/>
    </w:p>
    <w:p>
      <w:pPr>
        <w:spacing w:line="58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经测算，运营期30年，本项目资本金财务内部收益率为</w:t>
      </w:r>
      <w:r>
        <w:rPr>
          <w:rFonts w:hint="eastAsia" w:ascii="Times New Roman" w:hAnsi="Times New Roman" w:eastAsia="仿宋_GB2312"/>
          <w:color w:val="000000"/>
          <w:sz w:val="32"/>
          <w:szCs w:val="32"/>
        </w:rPr>
        <w:t>4.2</w:t>
      </w:r>
      <w:r>
        <w:rPr>
          <w:rFonts w:ascii="Times New Roman" w:hAnsi="Times New Roman" w:eastAsia="仿宋_GB2312"/>
          <w:color w:val="000000"/>
          <w:sz w:val="32"/>
          <w:szCs w:val="32"/>
        </w:rPr>
        <w:t>%，满足资本金基准收益率的要求，项目盈利能力较好。</w:t>
      </w:r>
    </w:p>
    <w:sectPr>
      <w:headerReference r:id="rId7" w:type="default"/>
      <w:type w:val="continuous"/>
      <w:pgSz w:w="11906" w:h="16838"/>
      <w:pgMar w:top="1701" w:right="1531" w:bottom="1701" w:left="153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modern"/>
    <w:pitch w:val="default"/>
    <w:sig w:usb0="800002BF" w:usb1="38CF7CFA" w:usb2="00000016" w:usb3="00000000" w:csb0="00040001" w:csb1="00000000"/>
  </w:font>
  <w:font w:name="Arial">
    <w:altName w:val="DejaVu Sans"/>
    <w:panose1 w:val="020B0604020202020204"/>
    <w:charset w:val="00"/>
    <w:family w:val="swiss"/>
    <w:pitch w:val="default"/>
    <w:sig w:usb0="E0002AFF" w:usb1="C0007843" w:usb2="00000009" w:usb3="00000000" w:csb0="000001FF" w:csb1="00000000"/>
  </w:font>
  <w:font w:name="Calibri Light">
    <w:altName w:val="DejaVu Sans"/>
    <w:panose1 w:val="020F0302020204030204"/>
    <w:charset w:val="00"/>
    <w:family w:val="swiss"/>
    <w:pitch w:val="default"/>
    <w:sig w:usb0="00000000" w:usb1="C000247B" w:usb2="00000009" w:usb3="00000000" w:csb0="000001FF" w:csb1="00000000"/>
  </w:font>
  <w:font w:name="等线 Light">
    <w:altName w:val="华文仿宋"/>
    <w:panose1 w:val="02010600030101010101"/>
    <w:charset w:val="00"/>
    <w:family w:val="auto"/>
    <w:pitch w:val="default"/>
    <w:sig w:usb0="00000000"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altName w:val="方正黑体_GBK"/>
    <w:panose1 w:val="020B0503020204020204"/>
    <w:charset w:val="00"/>
    <w:family w:val="swiss"/>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ii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C080A"/>
    <w:multiLevelType w:val="singleLevel"/>
    <w:tmpl w:val="3AAC080A"/>
    <w:lvl w:ilvl="0" w:tentative="0">
      <w:start w:val="1"/>
      <w:numFmt w:val="decimal"/>
      <w:suff w:val="nothing"/>
      <w:lvlText w:val="（%1）"/>
      <w:lvlJc w:val="left"/>
    </w:lvl>
  </w:abstractNum>
  <w:abstractNum w:abstractNumId="1">
    <w:nsid w:val="3B1A26D0"/>
    <w:multiLevelType w:val="multilevel"/>
    <w:tmpl w:val="3B1A26D0"/>
    <w:lvl w:ilvl="0" w:tentative="0">
      <w:start w:val="13"/>
      <w:numFmt w:val="chineseCountingThousand"/>
      <w:pStyle w:val="2"/>
      <w:lvlText w:val="第%1章"/>
      <w:lvlJc w:val="left"/>
      <w:pPr>
        <w:tabs>
          <w:tab w:val="left" w:pos="1080"/>
        </w:tabs>
        <w:ind w:left="0" w:firstLine="0"/>
      </w:pPr>
      <w:rPr>
        <w:rFonts w:hint="eastAsia"/>
      </w:rPr>
    </w:lvl>
    <w:lvl w:ilvl="1" w:tentative="0">
      <w:start w:val="1"/>
      <w:numFmt w:val="decimal"/>
      <w:lvlText w:val="%1.%2"/>
      <w:lvlJc w:val="left"/>
      <w:pPr>
        <w:tabs>
          <w:tab w:val="left" w:pos="720"/>
        </w:tabs>
        <w:ind w:left="0" w:firstLine="0"/>
      </w:pPr>
      <w:rPr>
        <w:rFonts w:hint="eastAsia"/>
      </w:rPr>
    </w:lvl>
    <w:lvl w:ilvl="2" w:tentative="0">
      <w:start w:val="1"/>
      <w:numFmt w:val="decimal"/>
      <w:lvlText w:val="%1.%2.%3"/>
      <w:lvlJc w:val="left"/>
      <w:pPr>
        <w:tabs>
          <w:tab w:val="left" w:pos="1080"/>
        </w:tabs>
        <w:ind w:left="0" w:firstLine="0"/>
      </w:pPr>
      <w:rPr>
        <w:rFonts w:hint="eastAsia"/>
      </w:rPr>
    </w:lvl>
    <w:lvl w:ilvl="3" w:tentative="0">
      <w:start w:val="1"/>
      <w:numFmt w:val="decimal"/>
      <w:lvlText w:val="%1.%2.%3.%4"/>
      <w:lvlJc w:val="left"/>
      <w:pPr>
        <w:tabs>
          <w:tab w:val="left" w:pos="2880"/>
        </w:tabs>
        <w:ind w:left="864" w:hanging="864"/>
      </w:pPr>
      <w:rPr>
        <w:rFonts w:hint="eastAsia"/>
      </w:rPr>
    </w:lvl>
    <w:lvl w:ilvl="4" w:tentative="0">
      <w:start w:val="1"/>
      <w:numFmt w:val="decimal"/>
      <w:lvlText w:val="%1.%2.%3.%4.%5"/>
      <w:lvlJc w:val="left"/>
      <w:pPr>
        <w:tabs>
          <w:tab w:val="left" w:pos="2160"/>
        </w:tabs>
        <w:ind w:left="1008" w:hanging="1008"/>
      </w:pPr>
      <w:rPr>
        <w:rFonts w:hint="eastAsia"/>
      </w:rPr>
    </w:lvl>
    <w:lvl w:ilvl="5" w:tentative="0">
      <w:start w:val="1"/>
      <w:numFmt w:val="decimal"/>
      <w:lvlText w:val="%1.%2.%3.%4.%5.%6"/>
      <w:lvlJc w:val="left"/>
      <w:pPr>
        <w:tabs>
          <w:tab w:val="left" w:pos="2520"/>
        </w:tabs>
        <w:ind w:left="1152" w:hanging="1152"/>
      </w:pPr>
      <w:rPr>
        <w:rFonts w:hint="eastAsia"/>
      </w:rPr>
    </w:lvl>
    <w:lvl w:ilvl="6" w:tentative="0">
      <w:start w:val="1"/>
      <w:numFmt w:val="decimal"/>
      <w:lvlText w:val="%1.%2.%3.%4.%5.%6.%7"/>
      <w:lvlJc w:val="left"/>
      <w:pPr>
        <w:tabs>
          <w:tab w:val="left" w:pos="3240"/>
        </w:tabs>
        <w:ind w:left="1296" w:hanging="1296"/>
      </w:pPr>
      <w:rPr>
        <w:rFonts w:hint="eastAsia"/>
      </w:rPr>
    </w:lvl>
    <w:lvl w:ilvl="7" w:tentative="0">
      <w:start w:val="1"/>
      <w:numFmt w:val="decimal"/>
      <w:lvlText w:val="%1.%2.%3.%4.%5.%6.%7.%8"/>
      <w:lvlJc w:val="left"/>
      <w:pPr>
        <w:tabs>
          <w:tab w:val="left" w:pos="3600"/>
        </w:tabs>
        <w:ind w:left="1440" w:hanging="1440"/>
      </w:pPr>
      <w:rPr>
        <w:rFonts w:hint="eastAsia"/>
      </w:rPr>
    </w:lvl>
    <w:lvl w:ilvl="8" w:tentative="0">
      <w:start w:val="1"/>
      <w:numFmt w:val="decimal"/>
      <w:lvlText w:val="%1.%2.%3.%4.%5.%6.%7.%8.%9"/>
      <w:lvlJc w:val="left"/>
      <w:pPr>
        <w:tabs>
          <w:tab w:val="left" w:pos="3960"/>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Y2RhMmIzZTYxNWU0YjkxYzhlZGNlNmU1MmY2ZDMifQ=="/>
    <w:docVar w:name="KSO_WPS_MARK_KEY" w:val="10f4a8b9-1ade-456d-93b6-4eccb8702bcb"/>
  </w:docVars>
  <w:rsids>
    <w:rsidRoot w:val="00F05940"/>
    <w:rsid w:val="000061D8"/>
    <w:rsid w:val="00006436"/>
    <w:rsid w:val="00006E12"/>
    <w:rsid w:val="00016CFF"/>
    <w:rsid w:val="00027149"/>
    <w:rsid w:val="0002772A"/>
    <w:rsid w:val="0004298A"/>
    <w:rsid w:val="00052E14"/>
    <w:rsid w:val="000542A5"/>
    <w:rsid w:val="00056880"/>
    <w:rsid w:val="00066413"/>
    <w:rsid w:val="00074B4C"/>
    <w:rsid w:val="000802DC"/>
    <w:rsid w:val="00083346"/>
    <w:rsid w:val="00091E5C"/>
    <w:rsid w:val="00093F60"/>
    <w:rsid w:val="000A00C3"/>
    <w:rsid w:val="000A3629"/>
    <w:rsid w:val="000D4B42"/>
    <w:rsid w:val="000E6F81"/>
    <w:rsid w:val="001179C1"/>
    <w:rsid w:val="001258CF"/>
    <w:rsid w:val="001318E0"/>
    <w:rsid w:val="00137235"/>
    <w:rsid w:val="00140599"/>
    <w:rsid w:val="001434C1"/>
    <w:rsid w:val="00154283"/>
    <w:rsid w:val="001572F5"/>
    <w:rsid w:val="0017648D"/>
    <w:rsid w:val="00184FCB"/>
    <w:rsid w:val="001A0250"/>
    <w:rsid w:val="001A10FE"/>
    <w:rsid w:val="001A24A3"/>
    <w:rsid w:val="001A6F35"/>
    <w:rsid w:val="001B29B9"/>
    <w:rsid w:val="001C45FE"/>
    <w:rsid w:val="001F15A0"/>
    <w:rsid w:val="002049A6"/>
    <w:rsid w:val="00204C3C"/>
    <w:rsid w:val="002376B0"/>
    <w:rsid w:val="00237704"/>
    <w:rsid w:val="00247986"/>
    <w:rsid w:val="0025172C"/>
    <w:rsid w:val="00262E16"/>
    <w:rsid w:val="00277F0B"/>
    <w:rsid w:val="0028422A"/>
    <w:rsid w:val="00287FFC"/>
    <w:rsid w:val="0029345C"/>
    <w:rsid w:val="002B5491"/>
    <w:rsid w:val="002C6314"/>
    <w:rsid w:val="002D2B66"/>
    <w:rsid w:val="002E3AE7"/>
    <w:rsid w:val="002E6968"/>
    <w:rsid w:val="002F3569"/>
    <w:rsid w:val="002F4798"/>
    <w:rsid w:val="003008E3"/>
    <w:rsid w:val="0030398D"/>
    <w:rsid w:val="0035094C"/>
    <w:rsid w:val="003606E3"/>
    <w:rsid w:val="00363DD1"/>
    <w:rsid w:val="00366B4A"/>
    <w:rsid w:val="00375370"/>
    <w:rsid w:val="00384432"/>
    <w:rsid w:val="00392F6C"/>
    <w:rsid w:val="0039373F"/>
    <w:rsid w:val="0039380D"/>
    <w:rsid w:val="003A074C"/>
    <w:rsid w:val="003B2FE7"/>
    <w:rsid w:val="003B5EC7"/>
    <w:rsid w:val="003C4807"/>
    <w:rsid w:val="003C7683"/>
    <w:rsid w:val="003D04FD"/>
    <w:rsid w:val="003D6121"/>
    <w:rsid w:val="003F1249"/>
    <w:rsid w:val="003F1433"/>
    <w:rsid w:val="003F6849"/>
    <w:rsid w:val="00410600"/>
    <w:rsid w:val="00410AD4"/>
    <w:rsid w:val="00434C4B"/>
    <w:rsid w:val="00442DED"/>
    <w:rsid w:val="00444BB2"/>
    <w:rsid w:val="0045049E"/>
    <w:rsid w:val="00452D98"/>
    <w:rsid w:val="004576B2"/>
    <w:rsid w:val="004743C7"/>
    <w:rsid w:val="00474D38"/>
    <w:rsid w:val="00481593"/>
    <w:rsid w:val="00484A20"/>
    <w:rsid w:val="004B0D8E"/>
    <w:rsid w:val="004B3DFA"/>
    <w:rsid w:val="004B4F26"/>
    <w:rsid w:val="004B5F7A"/>
    <w:rsid w:val="004C0EBE"/>
    <w:rsid w:val="004C53C7"/>
    <w:rsid w:val="004D6CA5"/>
    <w:rsid w:val="004E2552"/>
    <w:rsid w:val="005320EB"/>
    <w:rsid w:val="00544C43"/>
    <w:rsid w:val="005622D4"/>
    <w:rsid w:val="00586570"/>
    <w:rsid w:val="00587C72"/>
    <w:rsid w:val="00587F2B"/>
    <w:rsid w:val="00592F9B"/>
    <w:rsid w:val="00596206"/>
    <w:rsid w:val="00597258"/>
    <w:rsid w:val="005C034E"/>
    <w:rsid w:val="005C04A2"/>
    <w:rsid w:val="005D3711"/>
    <w:rsid w:val="005D4C9B"/>
    <w:rsid w:val="005E21E2"/>
    <w:rsid w:val="005E244A"/>
    <w:rsid w:val="005F6806"/>
    <w:rsid w:val="005F7969"/>
    <w:rsid w:val="005F7B96"/>
    <w:rsid w:val="006033D5"/>
    <w:rsid w:val="00605464"/>
    <w:rsid w:val="00612F32"/>
    <w:rsid w:val="00620DD9"/>
    <w:rsid w:val="00626888"/>
    <w:rsid w:val="00641CC8"/>
    <w:rsid w:val="00663BFD"/>
    <w:rsid w:val="00664009"/>
    <w:rsid w:val="0067778D"/>
    <w:rsid w:val="006861A6"/>
    <w:rsid w:val="006941FD"/>
    <w:rsid w:val="00694235"/>
    <w:rsid w:val="006959D6"/>
    <w:rsid w:val="006D5EFA"/>
    <w:rsid w:val="006E4A92"/>
    <w:rsid w:val="006E57ED"/>
    <w:rsid w:val="006E6E57"/>
    <w:rsid w:val="006E7D67"/>
    <w:rsid w:val="006F4362"/>
    <w:rsid w:val="006F7C67"/>
    <w:rsid w:val="0070438C"/>
    <w:rsid w:val="00711CE3"/>
    <w:rsid w:val="00716273"/>
    <w:rsid w:val="00721CAA"/>
    <w:rsid w:val="00723A87"/>
    <w:rsid w:val="00727BEE"/>
    <w:rsid w:val="00737A18"/>
    <w:rsid w:val="00743BD4"/>
    <w:rsid w:val="00761F18"/>
    <w:rsid w:val="00763709"/>
    <w:rsid w:val="00773070"/>
    <w:rsid w:val="00786A69"/>
    <w:rsid w:val="007871E8"/>
    <w:rsid w:val="00795A17"/>
    <w:rsid w:val="007972CF"/>
    <w:rsid w:val="007A7287"/>
    <w:rsid w:val="007B488C"/>
    <w:rsid w:val="007B49F3"/>
    <w:rsid w:val="007B67A5"/>
    <w:rsid w:val="007B6F71"/>
    <w:rsid w:val="007C0B9B"/>
    <w:rsid w:val="007C1614"/>
    <w:rsid w:val="007C6160"/>
    <w:rsid w:val="007D29B7"/>
    <w:rsid w:val="007D6F6A"/>
    <w:rsid w:val="007E6E32"/>
    <w:rsid w:val="00811684"/>
    <w:rsid w:val="008121B9"/>
    <w:rsid w:val="00817229"/>
    <w:rsid w:val="00826545"/>
    <w:rsid w:val="008307EB"/>
    <w:rsid w:val="008553D2"/>
    <w:rsid w:val="00856D74"/>
    <w:rsid w:val="00883E11"/>
    <w:rsid w:val="00884081"/>
    <w:rsid w:val="008A02EE"/>
    <w:rsid w:val="008A7E92"/>
    <w:rsid w:val="008B5810"/>
    <w:rsid w:val="008C02F6"/>
    <w:rsid w:val="008C1DDF"/>
    <w:rsid w:val="008D7B7F"/>
    <w:rsid w:val="008E2287"/>
    <w:rsid w:val="008E489A"/>
    <w:rsid w:val="008E48F3"/>
    <w:rsid w:val="008F3365"/>
    <w:rsid w:val="00907B11"/>
    <w:rsid w:val="009237DD"/>
    <w:rsid w:val="00924BCF"/>
    <w:rsid w:val="00930F83"/>
    <w:rsid w:val="00947527"/>
    <w:rsid w:val="00956614"/>
    <w:rsid w:val="009817A6"/>
    <w:rsid w:val="00982456"/>
    <w:rsid w:val="00994406"/>
    <w:rsid w:val="009C494F"/>
    <w:rsid w:val="009D0296"/>
    <w:rsid w:val="00A00E1D"/>
    <w:rsid w:val="00A23D1B"/>
    <w:rsid w:val="00A24AC2"/>
    <w:rsid w:val="00A300FD"/>
    <w:rsid w:val="00A35676"/>
    <w:rsid w:val="00A46EDD"/>
    <w:rsid w:val="00A55F39"/>
    <w:rsid w:val="00AB0669"/>
    <w:rsid w:val="00AB08B9"/>
    <w:rsid w:val="00AB30CB"/>
    <w:rsid w:val="00AC1874"/>
    <w:rsid w:val="00AD2AA0"/>
    <w:rsid w:val="00AD57BB"/>
    <w:rsid w:val="00AD6F9F"/>
    <w:rsid w:val="00AF78A0"/>
    <w:rsid w:val="00B07EA3"/>
    <w:rsid w:val="00B23971"/>
    <w:rsid w:val="00B300E0"/>
    <w:rsid w:val="00B31467"/>
    <w:rsid w:val="00B33521"/>
    <w:rsid w:val="00B41D03"/>
    <w:rsid w:val="00B42F9C"/>
    <w:rsid w:val="00B50136"/>
    <w:rsid w:val="00BC5872"/>
    <w:rsid w:val="00BC5A63"/>
    <w:rsid w:val="00BD1549"/>
    <w:rsid w:val="00BD38C8"/>
    <w:rsid w:val="00BF62C8"/>
    <w:rsid w:val="00C03667"/>
    <w:rsid w:val="00C123D6"/>
    <w:rsid w:val="00C21365"/>
    <w:rsid w:val="00C2275A"/>
    <w:rsid w:val="00C30BCA"/>
    <w:rsid w:val="00C3104C"/>
    <w:rsid w:val="00C3730B"/>
    <w:rsid w:val="00C413AC"/>
    <w:rsid w:val="00C44B43"/>
    <w:rsid w:val="00C63F9D"/>
    <w:rsid w:val="00C826FF"/>
    <w:rsid w:val="00C82873"/>
    <w:rsid w:val="00C916A1"/>
    <w:rsid w:val="00C93CE0"/>
    <w:rsid w:val="00C942B9"/>
    <w:rsid w:val="00CA2716"/>
    <w:rsid w:val="00CA5776"/>
    <w:rsid w:val="00CB23ED"/>
    <w:rsid w:val="00CB36F2"/>
    <w:rsid w:val="00CB45AD"/>
    <w:rsid w:val="00CD5CFF"/>
    <w:rsid w:val="00CD722F"/>
    <w:rsid w:val="00CE1672"/>
    <w:rsid w:val="00CF1AFE"/>
    <w:rsid w:val="00D04A0B"/>
    <w:rsid w:val="00D11EF5"/>
    <w:rsid w:val="00D17878"/>
    <w:rsid w:val="00D24E49"/>
    <w:rsid w:val="00D4727F"/>
    <w:rsid w:val="00D47A46"/>
    <w:rsid w:val="00D51146"/>
    <w:rsid w:val="00D620B7"/>
    <w:rsid w:val="00D76C93"/>
    <w:rsid w:val="00D92174"/>
    <w:rsid w:val="00D96531"/>
    <w:rsid w:val="00DA2C74"/>
    <w:rsid w:val="00DD47D7"/>
    <w:rsid w:val="00DE2BA7"/>
    <w:rsid w:val="00DE3A1A"/>
    <w:rsid w:val="00DF56E4"/>
    <w:rsid w:val="00DF6EA8"/>
    <w:rsid w:val="00E02535"/>
    <w:rsid w:val="00E13712"/>
    <w:rsid w:val="00E214F4"/>
    <w:rsid w:val="00E3072E"/>
    <w:rsid w:val="00E31BA9"/>
    <w:rsid w:val="00E50A40"/>
    <w:rsid w:val="00E529A1"/>
    <w:rsid w:val="00E56D89"/>
    <w:rsid w:val="00E63B7B"/>
    <w:rsid w:val="00E77C75"/>
    <w:rsid w:val="00E87764"/>
    <w:rsid w:val="00EA1A52"/>
    <w:rsid w:val="00EA4E57"/>
    <w:rsid w:val="00EB3957"/>
    <w:rsid w:val="00EB4726"/>
    <w:rsid w:val="00EC3CD0"/>
    <w:rsid w:val="00ED080A"/>
    <w:rsid w:val="00ED5A58"/>
    <w:rsid w:val="00EE0459"/>
    <w:rsid w:val="00EE4203"/>
    <w:rsid w:val="00EF5C76"/>
    <w:rsid w:val="00EF625F"/>
    <w:rsid w:val="00F05940"/>
    <w:rsid w:val="00F34B20"/>
    <w:rsid w:val="00F43E50"/>
    <w:rsid w:val="00F61B05"/>
    <w:rsid w:val="00F65355"/>
    <w:rsid w:val="00F65399"/>
    <w:rsid w:val="00F7125C"/>
    <w:rsid w:val="00F74743"/>
    <w:rsid w:val="00F83C50"/>
    <w:rsid w:val="00FA363A"/>
    <w:rsid w:val="00FC1EE8"/>
    <w:rsid w:val="00FC4229"/>
    <w:rsid w:val="00FC6ADE"/>
    <w:rsid w:val="00FD0D59"/>
    <w:rsid w:val="00FE0660"/>
    <w:rsid w:val="00FF7095"/>
    <w:rsid w:val="00FF7428"/>
    <w:rsid w:val="02EB4148"/>
    <w:rsid w:val="061340E1"/>
    <w:rsid w:val="06265F84"/>
    <w:rsid w:val="0A793F57"/>
    <w:rsid w:val="0D961E58"/>
    <w:rsid w:val="115C079B"/>
    <w:rsid w:val="144E2AE5"/>
    <w:rsid w:val="18AF3CB1"/>
    <w:rsid w:val="1A6F2616"/>
    <w:rsid w:val="1D9F1F05"/>
    <w:rsid w:val="1E1A660C"/>
    <w:rsid w:val="22AD5972"/>
    <w:rsid w:val="27127645"/>
    <w:rsid w:val="296D602C"/>
    <w:rsid w:val="313D5769"/>
    <w:rsid w:val="34D3636B"/>
    <w:rsid w:val="361D2D01"/>
    <w:rsid w:val="363E2205"/>
    <w:rsid w:val="39096AFA"/>
    <w:rsid w:val="3F6B1DEC"/>
    <w:rsid w:val="40752197"/>
    <w:rsid w:val="42EB1D96"/>
    <w:rsid w:val="43895324"/>
    <w:rsid w:val="4C44497A"/>
    <w:rsid w:val="4F2A2D3C"/>
    <w:rsid w:val="52B43A4A"/>
    <w:rsid w:val="57A22332"/>
    <w:rsid w:val="62C217B6"/>
    <w:rsid w:val="66644AC0"/>
    <w:rsid w:val="6BC27154"/>
    <w:rsid w:val="6C807BBA"/>
    <w:rsid w:val="6CD73179"/>
    <w:rsid w:val="6D9335CC"/>
    <w:rsid w:val="6E2D1AB4"/>
    <w:rsid w:val="72D83105"/>
    <w:rsid w:val="732C2097"/>
    <w:rsid w:val="73D217B1"/>
    <w:rsid w:val="73E84ED7"/>
    <w:rsid w:val="75F22BF4"/>
    <w:rsid w:val="78F412D5"/>
    <w:rsid w:val="7BB2428D"/>
    <w:rsid w:val="7C9B5387"/>
    <w:rsid w:val="7E0712F2"/>
    <w:rsid w:val="DDEFD2BD"/>
    <w:rsid w:val="E7FB82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9" w:name="heading 4"/>
    <w:lsdException w:qFormat="1" w:uiPriority="99" w:name="heading 5"/>
    <w:lsdException w:qFormat="1" w:unhideWhenUsed="0" w:uiPriority="0" w:semiHidden="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paragraph" w:styleId="2">
    <w:name w:val="heading 1"/>
    <w:basedOn w:val="1"/>
    <w:next w:val="1"/>
    <w:link w:val="19"/>
    <w:qFormat/>
    <w:uiPriority w:val="9"/>
    <w:pPr>
      <w:keepNext/>
      <w:keepLines/>
      <w:widowControl/>
      <w:numPr>
        <w:ilvl w:val="0"/>
        <w:numId w:val="1"/>
      </w:numPr>
      <w:spacing w:before="160" w:after="160" w:line="420" w:lineRule="atLeast"/>
      <w:jc w:val="left"/>
      <w:outlineLvl w:val="0"/>
    </w:pPr>
    <w:rPr>
      <w:rFonts w:ascii="黑体" w:hAnsi="Arial" w:eastAsia="黑体" w:cs="Times New Roman"/>
      <w:b/>
      <w:kern w:val="28"/>
      <w:sz w:val="32"/>
      <w:szCs w:val="20"/>
    </w:rPr>
  </w:style>
  <w:style w:type="paragraph" w:styleId="3">
    <w:name w:val="heading 2"/>
    <w:basedOn w:val="1"/>
    <w:next w:val="1"/>
    <w:link w:val="20"/>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21"/>
    <w:qFormat/>
    <w:uiPriority w:val="9"/>
    <w:pPr>
      <w:keepNext/>
      <w:keepLines/>
      <w:spacing w:before="260" w:after="260" w:line="415" w:lineRule="auto"/>
      <w:ind w:firstLine="200" w:firstLineChars="200"/>
      <w:outlineLvl w:val="2"/>
    </w:pPr>
    <w:rPr>
      <w:bCs/>
      <w:sz w:val="32"/>
      <w:szCs w:val="32"/>
    </w:rPr>
  </w:style>
  <w:style w:type="paragraph" w:styleId="5">
    <w:name w:val="heading 6"/>
    <w:basedOn w:val="1"/>
    <w:next w:val="1"/>
    <w:qFormat/>
    <w:uiPriority w:val="0"/>
    <w:pPr>
      <w:keepNext/>
      <w:keepLines/>
      <w:spacing w:before="240" w:after="64" w:line="320" w:lineRule="auto"/>
      <w:outlineLvl w:val="5"/>
    </w:pPr>
    <w:rPr>
      <w:rFonts w:ascii="等线 Light" w:hAnsi="等线 Light" w:eastAsia="等线 Light" w:cs="Times New Roman"/>
      <w:b/>
      <w:bCs/>
      <w:sz w:val="24"/>
      <w:szCs w:val="24"/>
    </w:rPr>
  </w:style>
  <w:style w:type="character" w:default="1" w:styleId="17">
    <w:name w:val="Default Paragraph Font"/>
    <w:unhideWhenUsed/>
    <w:qFormat/>
    <w:uiPriority w:val="1"/>
  </w:style>
  <w:style w:type="table" w:default="1" w:styleId="16">
    <w:name w:val="Normal Table"/>
    <w:unhideWhenUsed/>
    <w:qFormat/>
    <w:uiPriority w:val="99"/>
    <w:tblPr>
      <w:tblStyle w:val="16"/>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Body Text"/>
    <w:basedOn w:val="1"/>
    <w:link w:val="22"/>
    <w:unhideWhenUsed/>
    <w:qFormat/>
    <w:uiPriority w:val="99"/>
    <w:pPr>
      <w:spacing w:after="120"/>
    </w:pPr>
  </w:style>
  <w:style w:type="paragraph" w:styleId="8">
    <w:name w:val="Body Text Indent"/>
    <w:basedOn w:val="1"/>
    <w:unhideWhenUsed/>
    <w:qFormat/>
    <w:uiPriority w:val="0"/>
    <w:pPr>
      <w:spacing w:after="120"/>
      <w:ind w:left="420" w:leftChars="200"/>
    </w:pPr>
  </w:style>
  <w:style w:type="paragraph" w:styleId="9">
    <w:name w:val="toc 3"/>
    <w:basedOn w:val="1"/>
    <w:next w:val="1"/>
    <w:unhideWhenUsed/>
    <w:qFormat/>
    <w:uiPriority w:val="39"/>
    <w:pPr>
      <w:ind w:left="840" w:leftChars="400"/>
    </w:p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Body Text First Indent"/>
    <w:basedOn w:val="7"/>
    <w:next w:val="15"/>
    <w:link w:val="25"/>
    <w:unhideWhenUsed/>
    <w:qFormat/>
    <w:uiPriority w:val="99"/>
    <w:pPr>
      <w:ind w:firstLine="420" w:firstLineChars="100"/>
    </w:pPr>
  </w:style>
  <w:style w:type="paragraph" w:styleId="15">
    <w:name w:val="Body Text First Indent 2"/>
    <w:basedOn w:val="8"/>
    <w:unhideWhenUsed/>
    <w:qFormat/>
    <w:uiPriority w:val="99"/>
    <w:pPr>
      <w:adjustRightInd w:val="0"/>
      <w:snapToGrid w:val="0"/>
      <w:spacing w:beforeAutospacing="1" w:afterAutospacing="1"/>
      <w:ind w:left="480" w:firstLine="562"/>
      <w:jc w:val="left"/>
    </w:pPr>
    <w:rPr>
      <w:rFonts w:hint="eastAsia" w:ascii="仿宋_GB2312" w:hAnsi="仿宋_GB2312" w:eastAsia="宋体" w:cs="Times New Roman"/>
      <w:szCs w:val="30"/>
      <w:lang w:eastAsia="en-US"/>
    </w:rPr>
  </w:style>
  <w:style w:type="character" w:styleId="18">
    <w:name w:val="Hyperlink"/>
    <w:unhideWhenUsed/>
    <w:qFormat/>
    <w:uiPriority w:val="99"/>
    <w:rPr>
      <w:color w:val="0563C1"/>
      <w:u w:val="single"/>
    </w:rPr>
  </w:style>
  <w:style w:type="character" w:customStyle="1" w:styleId="19">
    <w:name w:val="标题 1 字符"/>
    <w:link w:val="2"/>
    <w:qFormat/>
    <w:uiPriority w:val="9"/>
    <w:rPr>
      <w:rFonts w:ascii="黑体" w:hAnsi="Arial" w:eastAsia="黑体" w:cs="Times New Roman"/>
      <w:b/>
      <w:kern w:val="28"/>
      <w:sz w:val="32"/>
      <w:szCs w:val="20"/>
    </w:rPr>
  </w:style>
  <w:style w:type="character" w:customStyle="1" w:styleId="20">
    <w:name w:val="标题 2 字符"/>
    <w:link w:val="3"/>
    <w:qFormat/>
    <w:uiPriority w:val="9"/>
    <w:rPr>
      <w:rFonts w:ascii="Calibri Light" w:hAnsi="Calibri Light" w:eastAsia="宋体" w:cs="Times New Roman"/>
      <w:b/>
      <w:bCs/>
      <w:sz w:val="32"/>
      <w:szCs w:val="32"/>
    </w:rPr>
  </w:style>
  <w:style w:type="character" w:customStyle="1" w:styleId="21">
    <w:name w:val="标题 3 字符"/>
    <w:link w:val="4"/>
    <w:qFormat/>
    <w:uiPriority w:val="9"/>
    <w:rPr>
      <w:bCs/>
      <w:sz w:val="32"/>
      <w:szCs w:val="32"/>
    </w:rPr>
  </w:style>
  <w:style w:type="character" w:customStyle="1" w:styleId="22">
    <w:name w:val="正文文本 字符"/>
    <w:link w:val="7"/>
    <w:qFormat/>
    <w:uiPriority w:val="99"/>
  </w:style>
  <w:style w:type="character" w:customStyle="1" w:styleId="23">
    <w:name w:val="页脚 字符"/>
    <w:link w:val="10"/>
    <w:qFormat/>
    <w:uiPriority w:val="99"/>
    <w:rPr>
      <w:sz w:val="18"/>
      <w:szCs w:val="18"/>
    </w:rPr>
  </w:style>
  <w:style w:type="character" w:customStyle="1" w:styleId="24">
    <w:name w:val="页眉 字符"/>
    <w:link w:val="11"/>
    <w:qFormat/>
    <w:uiPriority w:val="99"/>
    <w:rPr>
      <w:sz w:val="18"/>
      <w:szCs w:val="18"/>
    </w:rPr>
  </w:style>
  <w:style w:type="character" w:customStyle="1" w:styleId="25">
    <w:name w:val="正文文本首行缩进 字符"/>
    <w:link w:val="14"/>
    <w:semiHidden/>
    <w:qFormat/>
    <w:uiPriority w:val="99"/>
  </w:style>
  <w:style w:type="paragraph" w:styleId="26">
    <w:name w:val="List Paragraph"/>
    <w:basedOn w:val="1"/>
    <w:qFormat/>
    <w:uiPriority w:val="34"/>
    <w:pPr>
      <w:ind w:firstLine="420" w:firstLineChars="200"/>
    </w:pPr>
  </w:style>
  <w:style w:type="paragraph" w:customStyle="1" w:styleId="27">
    <w:name w:val="表7-图题"/>
    <w:basedOn w:val="28"/>
    <w:qFormat/>
    <w:uiPriority w:val="0"/>
    <w:rPr>
      <w:b/>
      <w:sz w:val="24"/>
      <w:szCs w:val="28"/>
    </w:rPr>
  </w:style>
  <w:style w:type="paragraph" w:customStyle="1" w:styleId="28">
    <w:name w:val="表格-通佳高速"/>
    <w:basedOn w:val="1"/>
    <w:qFormat/>
    <w:uiPriority w:val="0"/>
    <w:pPr>
      <w:jc w:val="center"/>
    </w:pPr>
  </w:style>
  <w:style w:type="paragraph" w:customStyle="1" w:styleId="29">
    <w:name w:val="标注"/>
    <w:basedOn w:val="1"/>
    <w:qFormat/>
    <w:uiPriority w:val="0"/>
    <w:pPr>
      <w:adjustRightInd w:val="0"/>
      <w:snapToGrid w:val="0"/>
    </w:pPr>
    <w:rPr>
      <w:rFonts w:ascii="宋体" w:hAnsi="Times New Roman" w:eastAsia="宋体" w:cs="Times New Roman"/>
      <w:sz w:val="18"/>
      <w:szCs w:val="24"/>
    </w:rPr>
  </w:style>
  <w:style w:type="paragraph" w:customStyle="1" w:styleId="30">
    <w:name w:val="TOC 标题1"/>
    <w:basedOn w:val="2"/>
    <w:unhideWhenUsed/>
    <w:qFormat/>
    <w:uiPriority w:val="39"/>
    <w:pPr>
      <w:numPr>
        <w:ilvl w:val="0"/>
        <w:numId w:val="0"/>
      </w:numPr>
      <w:tabs>
        <w:tab w:val="clear" w:pos="1080"/>
      </w:tabs>
      <w:spacing w:before="240" w:after="0" w:line="259" w:lineRule="auto"/>
      <w:outlineLvl w:val="9"/>
    </w:pPr>
    <w:rPr>
      <w:rFonts w:ascii="Calibri Light" w:hAnsi="Calibri Light" w:eastAsia="宋体" w:cs="Times New Roman"/>
      <w:b w:val="0"/>
      <w:color w:val="2E75B5"/>
      <w:kern w:val="0"/>
      <w:szCs w:val="32"/>
    </w:rPr>
  </w:style>
  <w:style w:type="paragraph" w:customStyle="1" w:styleId="31">
    <w:name w:val="修订1"/>
    <w:unhideWhenUsed/>
    <w:qFormat/>
    <w:uiPriority w:val="99"/>
    <w:rPr>
      <w:rFonts w:ascii="Calibri" w:hAnsi="Calibri"/>
      <w:kern w:val="2"/>
      <w:sz w:val="21"/>
      <w:szCs w:val="22"/>
      <w:lang w:val="en-US" w:eastAsia="zh-CN" w:bidi="ar-SA"/>
    </w:rPr>
  </w:style>
  <w:style w:type="paragraph" w:customStyle="1" w:styleId="32">
    <w:name w:val="表正文"/>
    <w:basedOn w:val="1"/>
    <w:link w:val="33"/>
    <w:qFormat/>
    <w:uiPriority w:val="0"/>
    <w:pPr>
      <w:adjustRightInd w:val="0"/>
      <w:snapToGrid w:val="0"/>
      <w:jc w:val="center"/>
    </w:pPr>
    <w:rPr>
      <w:rFonts w:ascii="Times New Roman" w:hAnsi="Times New Roman" w:eastAsia="宋体" w:cs="Times New Roman"/>
      <w:sz w:val="18"/>
      <w:szCs w:val="24"/>
    </w:rPr>
  </w:style>
  <w:style w:type="character" w:customStyle="1" w:styleId="33">
    <w:name w:val="表正文 字符"/>
    <w:link w:val="32"/>
    <w:qFormat/>
    <w:uiPriority w:val="0"/>
    <w:rPr>
      <w:rFonts w:ascii="Times New Roman" w:hAnsi="Times New Roman" w:eastAsia="宋体" w:cs="Times New Roman"/>
      <w:kern w:val="2"/>
      <w:sz w:val="18"/>
      <w:szCs w:val="24"/>
    </w:rPr>
  </w:style>
  <w:style w:type="paragraph" w:customStyle="1" w:styleId="34">
    <w:name w:val="表"/>
    <w:basedOn w:val="5"/>
    <w:next w:val="1"/>
    <w:qFormat/>
    <w:uiPriority w:val="0"/>
    <w:pPr>
      <w:widowControl/>
      <w:adjustRightInd w:val="0"/>
      <w:snapToGrid w:val="0"/>
      <w:spacing w:before="0" w:after="0" w:line="360" w:lineRule="auto"/>
      <w:ind w:firstLine="0" w:firstLineChars="0"/>
      <w:jc w:val="center"/>
    </w:pPr>
    <w:rPr>
      <w:rFonts w:ascii="Times New Roman" w:hAnsi="Times New Roman" w:eastAsia="仿宋"/>
      <w:color w:val="000000"/>
      <w:kern w:val="0"/>
      <w:sz w:val="30"/>
      <w:szCs w:val="30"/>
    </w:rPr>
  </w:style>
  <w:style w:type="paragraph" w:customStyle="1" w:styleId="35">
    <w:name w:val="表内容"/>
    <w:basedOn w:val="1"/>
    <w:qFormat/>
    <w:uiPriority w:val="0"/>
    <w:pPr>
      <w:adjustRightInd w:val="0"/>
      <w:snapToGrid w:val="0"/>
      <w:spacing w:line="240" w:lineRule="auto"/>
      <w:ind w:firstLine="0" w:firstLineChars="0"/>
      <w:jc w:val="center"/>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1330</Words>
  <Characters>7585</Characters>
  <Lines>63</Lines>
  <Paragraphs>17</Paragraphs>
  <TotalTime>5</TotalTime>
  <ScaleCrop>false</ScaleCrop>
  <LinksUpToDate>false</LinksUpToDate>
  <CharactersWithSpaces>8898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2025-11-06T15:48:00Z</dcterms:created>
  <dc:creator>Administrator</dc:creator>
  <cp:lastModifiedBy>administrator</cp:lastModifiedBy>
  <dcterms:modified xsi:type="dcterms:W3CDTF">2025-11-06T16:19:09Z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0756D176CC4A4E45BC8E6639C5643D98_13</vt:lpwstr>
  </property>
  <property fmtid="{D5CDD505-2E9C-101B-9397-08002B2CF9AE}" pid="4" name="KSOTemplateDocerSaveRecord">
    <vt:lpwstr>eyJoZGlkIjoiNzRkMjU4YjRiZDZjZjFlMmY1OWIxOGU3M2M3ZmM1MzUiLCJ1c2VySWQiOiI3NjQ0MTgxMjEifQ==</vt:lpwstr>
  </property>
</Properties>
</file>