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BC6C8">
      <w:pPr>
        <w:widowControl w:val="0"/>
        <w:autoSpaceDE w:val="0"/>
        <w:autoSpaceDN w:val="0"/>
        <w:spacing w:before="0" w:after="0" w:line="647" w:lineRule="exact"/>
        <w:ind w:left="81" w:right="0"/>
        <w:jc w:val="center"/>
        <w:outlineLvl w:val="1"/>
        <w:rPr>
          <w:rFonts w:hint="eastAsia" w:ascii="方正小标宋_GBK" w:hAnsi="方正小标宋_GBK" w:eastAsia="方正小标宋_GBK" w:cs="方正小标宋_GBK"/>
          <w:b w:val="0"/>
          <w:bCs w:val="0"/>
          <w:color w:val="auto"/>
          <w:sz w:val="44"/>
          <w:szCs w:val="44"/>
          <w:lang w:val="en-US" w:eastAsia="zh-CN" w:bidi="ar-SA"/>
        </w:rPr>
      </w:pPr>
    </w:p>
    <w:p w14:paraId="764F8988">
      <w:pPr>
        <w:widowControl w:val="0"/>
        <w:autoSpaceDE w:val="0"/>
        <w:autoSpaceDN w:val="0"/>
        <w:spacing w:before="0" w:after="0" w:line="647" w:lineRule="exact"/>
        <w:ind w:left="81" w:right="0"/>
        <w:jc w:val="center"/>
        <w:outlineLvl w:val="1"/>
        <w:rPr>
          <w:rFonts w:hint="eastAsia" w:ascii="方正小标宋简体" w:hAnsi="方正小标宋简体" w:eastAsia="方正小标宋简体" w:cs="方正小标宋简体"/>
          <w:b w:val="0"/>
          <w:bCs w:val="0"/>
          <w:color w:val="auto"/>
          <w:sz w:val="44"/>
          <w:szCs w:val="44"/>
          <w:lang w:val="en-US" w:eastAsia="en-US" w:bidi="ar-SA"/>
        </w:rPr>
      </w:pPr>
      <w:bookmarkStart w:id="11" w:name="_GoBack"/>
      <w:r>
        <w:rPr>
          <w:rFonts w:hint="eastAsia" w:ascii="方正小标宋简体" w:hAnsi="方正小标宋简体" w:eastAsia="方正小标宋简体" w:cs="方正小标宋简体"/>
          <w:b w:val="0"/>
          <w:bCs w:val="0"/>
          <w:color w:val="auto"/>
          <w:sz w:val="44"/>
          <w:szCs w:val="44"/>
          <w:lang w:val="en-US" w:eastAsia="zh-CN" w:bidi="ar-SA"/>
        </w:rPr>
        <w:t>新乡市</w:t>
      </w:r>
      <w:r>
        <w:rPr>
          <w:rFonts w:hint="eastAsia" w:ascii="方正小标宋简体" w:hAnsi="方正小标宋简体" w:eastAsia="方正小标宋简体" w:cs="方正小标宋简体"/>
          <w:b w:val="0"/>
          <w:bCs w:val="0"/>
          <w:color w:val="auto"/>
          <w:sz w:val="44"/>
          <w:szCs w:val="44"/>
          <w:lang w:val="en-US" w:eastAsia="en-US" w:bidi="ar-SA"/>
        </w:rPr>
        <w:t>交通运输结构调整专项行动方案</w:t>
      </w:r>
    </w:p>
    <w:p w14:paraId="318E9663">
      <w:pPr>
        <w:keepNext w:val="0"/>
        <w:keepLines w:val="0"/>
        <w:pageBreakBefore w:val="0"/>
        <w:widowControl w:val="0"/>
        <w:kinsoku/>
        <w:wordWrap/>
        <w:overflowPunct/>
        <w:topLinePunct w:val="0"/>
        <w:autoSpaceDE w:val="0"/>
        <w:autoSpaceDN w:val="0"/>
        <w:bidi w:val="0"/>
        <w:adjustRightInd/>
        <w:snapToGrid/>
        <w:spacing w:before="0" w:after="0" w:line="690" w:lineRule="exact"/>
        <w:ind w:left="0" w:right="0" w:firstLine="0"/>
        <w:jc w:val="center"/>
        <w:textAlignment w:val="auto"/>
        <w:rPr>
          <w:rFonts w:hint="eastAsia" w:ascii="方正小标宋简体" w:hAnsi="方正小标宋简体" w:eastAsia="方正小标宋简体" w:cs="方正小标宋简体"/>
          <w:b w:val="0"/>
          <w:bCs w:val="0"/>
          <w:color w:val="auto"/>
          <w:kern w:val="0"/>
          <w:sz w:val="44"/>
          <w:szCs w:val="22"/>
          <w:lang w:eastAsia="zh-CN"/>
        </w:rPr>
      </w:pPr>
      <w:r>
        <w:rPr>
          <w:rFonts w:hint="eastAsia" w:ascii="方正小标宋简体" w:hAnsi="方正小标宋简体" w:eastAsia="方正小标宋简体" w:cs="方正小标宋简体"/>
          <w:b w:val="0"/>
          <w:bCs w:val="0"/>
          <w:color w:val="auto"/>
          <w:kern w:val="0"/>
          <w:sz w:val="44"/>
          <w:szCs w:val="22"/>
          <w:lang w:val="en-US" w:eastAsia="zh-CN"/>
        </w:rPr>
        <w:t>(</w:t>
      </w:r>
      <w:r>
        <w:rPr>
          <w:rFonts w:hint="eastAsia" w:ascii="方正小标宋简体" w:hAnsi="方正小标宋简体" w:eastAsia="方正小标宋简体" w:cs="方正小标宋简体"/>
          <w:b w:val="0"/>
          <w:bCs w:val="0"/>
          <w:color w:val="auto"/>
          <w:kern w:val="0"/>
          <w:sz w:val="44"/>
          <w:szCs w:val="22"/>
          <w:lang w:eastAsia="en-US"/>
        </w:rPr>
        <w:t>2026-2028年</w:t>
      </w:r>
      <w:r>
        <w:rPr>
          <w:rFonts w:hint="eastAsia" w:ascii="方正小标宋简体" w:hAnsi="方正小标宋简体" w:eastAsia="方正小标宋简体" w:cs="方正小标宋简体"/>
          <w:b w:val="0"/>
          <w:bCs w:val="0"/>
          <w:color w:val="auto"/>
          <w:kern w:val="0"/>
          <w:sz w:val="44"/>
          <w:szCs w:val="22"/>
          <w:lang w:val="en-US" w:eastAsia="zh-CN"/>
        </w:rPr>
        <w:t>)</w:t>
      </w:r>
    </w:p>
    <w:p w14:paraId="2236A7BB">
      <w:pPr>
        <w:keepNext w:val="0"/>
        <w:keepLines w:val="0"/>
        <w:pageBreakBefore w:val="0"/>
        <w:widowControl w:val="0"/>
        <w:kinsoku/>
        <w:wordWrap/>
        <w:overflowPunct/>
        <w:topLinePunct w:val="0"/>
        <w:autoSpaceDE w:val="0"/>
        <w:autoSpaceDN w:val="0"/>
        <w:bidi w:val="0"/>
        <w:adjustRightInd/>
        <w:snapToGrid/>
        <w:spacing w:before="0" w:after="0" w:line="647" w:lineRule="exact"/>
        <w:ind w:left="0" w:right="0"/>
        <w:jc w:val="center"/>
        <w:textAlignment w:val="auto"/>
        <w:outlineLvl w:val="1"/>
        <w:rPr>
          <w:rFonts w:hint="eastAsia" w:ascii="方正小标宋简体" w:hAnsi="方正小标宋简体" w:eastAsia="方正小标宋简体" w:cs="方正小标宋简体"/>
          <w:b w:val="0"/>
          <w:bCs w:val="0"/>
          <w:color w:val="auto"/>
          <w:sz w:val="44"/>
          <w:szCs w:val="44"/>
          <w:lang w:val="en-US" w:eastAsia="zh-CN" w:bidi="ar-SA"/>
        </w:rPr>
      </w:pPr>
      <w:r>
        <w:rPr>
          <w:rFonts w:hint="eastAsia" w:ascii="方正小标宋简体" w:hAnsi="方正小标宋简体" w:eastAsia="方正小标宋简体" w:cs="方正小标宋简体"/>
          <w:b w:val="0"/>
          <w:bCs w:val="0"/>
          <w:color w:val="auto"/>
          <w:sz w:val="44"/>
          <w:szCs w:val="44"/>
          <w:lang w:val="en-US" w:eastAsia="zh-CN" w:bidi="ar-SA"/>
        </w:rPr>
        <w:t>(征求意见稿)</w:t>
      </w:r>
    </w:p>
    <w:bookmarkEnd w:id="11"/>
    <w:p w14:paraId="450AC5FB">
      <w:pPr>
        <w:widowControl w:val="0"/>
        <w:autoSpaceDE w:val="0"/>
        <w:autoSpaceDN w:val="0"/>
        <w:spacing w:before="0" w:after="0" w:line="647" w:lineRule="exact"/>
        <w:ind w:left="81" w:right="0"/>
        <w:jc w:val="center"/>
        <w:outlineLvl w:val="1"/>
        <w:rPr>
          <w:rFonts w:hint="eastAsia" w:ascii="方正小标宋_GBK" w:hAnsi="方正小标宋_GBK" w:eastAsia="方正小标宋_GBK" w:cs="方正小标宋_GBK"/>
          <w:b w:val="0"/>
          <w:bCs w:val="0"/>
          <w:color w:val="auto"/>
          <w:sz w:val="44"/>
          <w:szCs w:val="44"/>
          <w:lang w:val="en-US" w:eastAsia="en-US" w:bidi="ar-SA"/>
        </w:rPr>
      </w:pPr>
    </w:p>
    <w:p w14:paraId="7B0FF598">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en-US" w:bidi="ar-SA"/>
        </w:rPr>
        <w:t>为全面贯彻落实习近平总书记</w:t>
      </w:r>
      <w:r>
        <w:rPr>
          <w:rFonts w:hint="eastAsia" w:ascii="仿宋_GB2312" w:hAnsi="仿宋_GB2312" w:eastAsia="仿宋_GB2312" w:cs="仿宋_GB2312"/>
          <w:color w:val="auto"/>
          <w:spacing w:val="1"/>
          <w:kern w:val="2"/>
          <w:sz w:val="32"/>
          <w:szCs w:val="32"/>
          <w:lang w:val="en-US" w:eastAsia="zh-CN" w:bidi="ar-SA"/>
        </w:rPr>
        <w:t>在</w:t>
      </w:r>
      <w:r>
        <w:rPr>
          <w:rFonts w:hint="eastAsia" w:ascii="仿宋_GB2312" w:hAnsi="仿宋_GB2312" w:eastAsia="仿宋_GB2312" w:cs="仿宋_GB2312"/>
          <w:color w:val="auto"/>
          <w:spacing w:val="1"/>
          <w:kern w:val="2"/>
          <w:sz w:val="32"/>
          <w:szCs w:val="32"/>
          <w:lang w:val="en-US" w:eastAsia="en-US" w:bidi="ar-SA"/>
        </w:rPr>
        <w:t>河南</w:t>
      </w:r>
      <w:r>
        <w:rPr>
          <w:rFonts w:hint="eastAsia" w:ascii="仿宋_GB2312" w:hAnsi="仿宋_GB2312" w:eastAsia="仿宋_GB2312" w:cs="仿宋_GB2312"/>
          <w:color w:val="auto"/>
          <w:spacing w:val="1"/>
          <w:kern w:val="2"/>
          <w:sz w:val="32"/>
          <w:szCs w:val="32"/>
          <w:lang w:val="en-US" w:eastAsia="zh-CN" w:bidi="ar-SA"/>
        </w:rPr>
        <w:t>考察时</w:t>
      </w:r>
      <w:r>
        <w:rPr>
          <w:rFonts w:hint="eastAsia" w:ascii="仿宋_GB2312" w:hAnsi="仿宋_GB2312" w:eastAsia="仿宋_GB2312" w:cs="仿宋_GB2312"/>
          <w:color w:val="auto"/>
          <w:spacing w:val="1"/>
          <w:kern w:val="2"/>
          <w:sz w:val="32"/>
          <w:szCs w:val="32"/>
          <w:lang w:val="en-US" w:eastAsia="en-US" w:bidi="ar-SA"/>
        </w:rPr>
        <w:t>重要讲话精神，落实省</w:t>
      </w:r>
      <w:r>
        <w:rPr>
          <w:rFonts w:hint="eastAsia" w:ascii="仿宋_GB2312" w:hAnsi="仿宋_GB2312" w:eastAsia="仿宋_GB2312" w:cs="仿宋_GB2312"/>
          <w:color w:val="auto"/>
          <w:spacing w:val="1"/>
          <w:kern w:val="2"/>
          <w:sz w:val="32"/>
          <w:szCs w:val="32"/>
          <w:lang w:val="en-US" w:eastAsia="zh-CN" w:bidi="ar-SA"/>
        </w:rPr>
        <w:t>市两级</w:t>
      </w:r>
      <w:r>
        <w:rPr>
          <w:rFonts w:hint="eastAsia" w:ascii="仿宋_GB2312" w:hAnsi="仿宋_GB2312" w:eastAsia="仿宋_GB2312" w:cs="仿宋_GB2312"/>
          <w:color w:val="auto"/>
          <w:spacing w:val="1"/>
          <w:kern w:val="2"/>
          <w:sz w:val="32"/>
          <w:szCs w:val="32"/>
          <w:lang w:val="en-US" w:eastAsia="en-US" w:bidi="ar-SA"/>
        </w:rPr>
        <w:t>决策部署，加快推进交通运输结构调整，实现交通运输方式绿色转型，制定本行动方案。</w:t>
      </w:r>
    </w:p>
    <w:p w14:paraId="2CA35C6F">
      <w:pPr>
        <w:keepNext w:val="0"/>
        <w:keepLines w:val="0"/>
        <w:pageBreakBefore w:val="0"/>
        <w:widowControl w:val="0"/>
        <w:kinsoku/>
        <w:wordWrap/>
        <w:overflowPunct/>
        <w:topLinePunct w:val="0"/>
        <w:autoSpaceDE w:val="0"/>
        <w:autoSpaceDN w:val="0"/>
        <w:bidi w:val="0"/>
        <w:adjustRightInd/>
        <w:snapToGrid/>
        <w:spacing w:before="0" w:after="0" w:line="580" w:lineRule="exact"/>
        <w:ind w:right="0" w:firstLine="640" w:firstLineChars="200"/>
        <w:jc w:val="left"/>
        <w:textAlignment w:val="auto"/>
        <w:outlineLvl w:val="1"/>
        <w:rPr>
          <w:rFonts w:hint="eastAsia" w:ascii="黑体" w:hAnsi="仿宋" w:eastAsia="黑体" w:cs="仿宋"/>
          <w:color w:val="auto"/>
          <w:sz w:val="32"/>
          <w:szCs w:val="32"/>
          <w:lang w:val="en-US" w:eastAsia="en-US" w:bidi="ar-SA"/>
        </w:rPr>
      </w:pPr>
      <w:bookmarkStart w:id="0" w:name="一、总体目标"/>
      <w:bookmarkEnd w:id="0"/>
      <w:r>
        <w:rPr>
          <w:rFonts w:hint="eastAsia" w:ascii="黑体" w:hAnsi="仿宋" w:eastAsia="黑体" w:cs="仿宋"/>
          <w:color w:val="auto"/>
          <w:sz w:val="32"/>
          <w:szCs w:val="32"/>
          <w:lang w:val="en-US" w:eastAsia="en-US" w:bidi="ar-SA"/>
        </w:rPr>
        <w:t>一、总体目标</w:t>
      </w:r>
    </w:p>
    <w:p w14:paraId="2591D04F">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default" w:ascii="Times New Roman" w:hAnsi="Times New Roman" w:eastAsia="仿宋_GB2312" w:cs="Times New Roman"/>
          <w:color w:val="auto"/>
          <w:spacing w:val="1"/>
          <w:kern w:val="2"/>
          <w:sz w:val="32"/>
          <w:szCs w:val="32"/>
          <w:lang w:val="en-US" w:eastAsia="en-US" w:bidi="ar-SA"/>
        </w:rPr>
      </w:pPr>
      <w:r>
        <w:rPr>
          <w:rFonts w:hint="default" w:ascii="Times New Roman" w:hAnsi="Times New Roman" w:eastAsia="仿宋_GB2312" w:cs="Times New Roman"/>
          <w:color w:val="auto"/>
          <w:spacing w:val="1"/>
          <w:kern w:val="2"/>
          <w:sz w:val="32"/>
          <w:szCs w:val="32"/>
          <w:lang w:val="en-US" w:eastAsia="en-US" w:bidi="ar-SA"/>
        </w:rPr>
        <w:t>按照“标本兼治、远近结合、同步推进”的基本思路，</w:t>
      </w:r>
      <w:r>
        <w:rPr>
          <w:rFonts w:hint="default" w:ascii="Times New Roman" w:hAnsi="Times New Roman" w:eastAsia="仿宋_GB2312" w:cs="Times New Roman"/>
          <w:color w:val="auto"/>
          <w:spacing w:val="1"/>
          <w:kern w:val="2"/>
          <w:sz w:val="32"/>
          <w:szCs w:val="32"/>
          <w:lang w:val="en-US" w:eastAsia="zh-CN" w:bidi="ar-SA"/>
        </w:rPr>
        <w:t>持续</w:t>
      </w:r>
      <w:r>
        <w:rPr>
          <w:rFonts w:hint="default" w:ascii="Times New Roman" w:hAnsi="Times New Roman" w:eastAsia="仿宋_GB2312" w:cs="Times New Roman"/>
          <w:color w:val="auto"/>
          <w:spacing w:val="1"/>
          <w:kern w:val="2"/>
          <w:sz w:val="32"/>
          <w:szCs w:val="32"/>
          <w:lang w:val="en-US" w:eastAsia="en-US" w:bidi="ar-SA"/>
        </w:rPr>
        <w:t>推进“公转铁”，</w:t>
      </w:r>
      <w:r>
        <w:rPr>
          <w:rFonts w:hint="default" w:ascii="Times New Roman" w:hAnsi="Times New Roman" w:eastAsia="仿宋_GB2312" w:cs="Times New Roman"/>
          <w:color w:val="auto"/>
          <w:spacing w:val="1"/>
          <w:kern w:val="2"/>
          <w:sz w:val="32"/>
          <w:szCs w:val="32"/>
          <w:lang w:val="en-US" w:eastAsia="zh-CN" w:bidi="ar-SA"/>
        </w:rPr>
        <w:t>大力</w:t>
      </w:r>
      <w:r>
        <w:rPr>
          <w:rFonts w:hint="default" w:ascii="Times New Roman" w:hAnsi="Times New Roman" w:eastAsia="仿宋_GB2312" w:cs="Times New Roman"/>
          <w:color w:val="auto"/>
          <w:spacing w:val="1"/>
          <w:kern w:val="2"/>
          <w:sz w:val="32"/>
          <w:szCs w:val="32"/>
          <w:lang w:val="en-US" w:eastAsia="en-US" w:bidi="ar-SA"/>
        </w:rPr>
        <w:t>发展多式联运，加快绿色</w:t>
      </w:r>
      <w:r>
        <w:rPr>
          <w:rFonts w:hint="default" w:ascii="Times New Roman" w:hAnsi="Times New Roman" w:eastAsia="仿宋_GB2312" w:cs="Times New Roman"/>
          <w:color w:val="auto"/>
          <w:spacing w:val="1"/>
          <w:kern w:val="2"/>
          <w:sz w:val="32"/>
          <w:szCs w:val="32"/>
          <w:lang w:val="en-US" w:eastAsia="zh-CN" w:bidi="ar-SA"/>
        </w:rPr>
        <w:t>交通</w:t>
      </w:r>
      <w:r>
        <w:rPr>
          <w:rFonts w:hint="default" w:ascii="Times New Roman" w:hAnsi="Times New Roman" w:eastAsia="仿宋_GB2312" w:cs="Times New Roman"/>
          <w:color w:val="auto"/>
          <w:spacing w:val="1"/>
          <w:kern w:val="2"/>
          <w:sz w:val="32"/>
          <w:szCs w:val="32"/>
          <w:lang w:val="en-US" w:eastAsia="en-US" w:bidi="ar-SA"/>
        </w:rPr>
        <w:t>基础设施建设</w:t>
      </w:r>
      <w:r>
        <w:rPr>
          <w:rFonts w:hint="default" w:ascii="Times New Roman" w:hAnsi="Times New Roman" w:eastAsia="仿宋_GB2312" w:cs="Times New Roman"/>
          <w:color w:val="auto"/>
          <w:spacing w:val="1"/>
          <w:kern w:val="2"/>
          <w:sz w:val="32"/>
          <w:szCs w:val="32"/>
          <w:lang w:val="en-US" w:eastAsia="zh-CN" w:bidi="ar-SA"/>
        </w:rPr>
        <w:t>和交通</w:t>
      </w:r>
      <w:r>
        <w:rPr>
          <w:rFonts w:hint="default" w:ascii="Times New Roman" w:hAnsi="Times New Roman" w:eastAsia="仿宋_GB2312" w:cs="Times New Roman"/>
          <w:color w:val="auto"/>
          <w:spacing w:val="1"/>
          <w:kern w:val="2"/>
          <w:sz w:val="32"/>
          <w:szCs w:val="32"/>
          <w:lang w:val="en-US" w:eastAsia="en-US" w:bidi="ar-SA"/>
        </w:rPr>
        <w:t>运输装备新能源替代，完善政策体系，力争2028年</w:t>
      </w:r>
      <w:r>
        <w:rPr>
          <w:rFonts w:hint="default" w:ascii="Times New Roman" w:hAnsi="Times New Roman" w:eastAsia="仿宋_GB2312" w:cs="Times New Roman"/>
          <w:color w:val="auto"/>
          <w:spacing w:val="1"/>
          <w:kern w:val="2"/>
          <w:sz w:val="32"/>
          <w:szCs w:val="32"/>
          <w:lang w:val="en-US" w:eastAsia="zh-CN" w:bidi="ar-SA"/>
        </w:rPr>
        <w:t>全社会货运量中</w:t>
      </w:r>
      <w:r>
        <w:rPr>
          <w:rFonts w:hint="default" w:ascii="Times New Roman" w:hAnsi="Times New Roman" w:eastAsia="仿宋_GB2312" w:cs="Times New Roman"/>
          <w:color w:val="auto"/>
          <w:spacing w:val="1"/>
          <w:kern w:val="2"/>
          <w:sz w:val="32"/>
          <w:szCs w:val="32"/>
          <w:lang w:val="en-US" w:eastAsia="en-US" w:bidi="ar-SA"/>
        </w:rPr>
        <w:t>公路货运量</w:t>
      </w:r>
      <w:r>
        <w:rPr>
          <w:rFonts w:hint="default" w:ascii="Times New Roman" w:hAnsi="Times New Roman" w:eastAsia="仿宋_GB2312" w:cs="Times New Roman"/>
          <w:color w:val="auto"/>
          <w:spacing w:val="1"/>
          <w:kern w:val="2"/>
          <w:sz w:val="32"/>
          <w:szCs w:val="32"/>
          <w:lang w:val="en-US" w:eastAsia="zh-CN" w:bidi="ar-SA"/>
        </w:rPr>
        <w:t>占比下降到87.7</w:t>
      </w:r>
      <w:r>
        <w:rPr>
          <w:rFonts w:hint="default" w:ascii="Times New Roman" w:hAnsi="Times New Roman" w:eastAsia="仿宋_GB2312" w:cs="Times New Roman"/>
          <w:color w:val="auto"/>
          <w:spacing w:val="1"/>
          <w:kern w:val="2"/>
          <w:sz w:val="32"/>
          <w:szCs w:val="32"/>
          <w:lang w:val="en-US" w:eastAsia="en-US" w:bidi="ar-SA"/>
        </w:rPr>
        <w:t>%</w:t>
      </w:r>
      <w:r>
        <w:rPr>
          <w:rFonts w:hint="default" w:ascii="Times New Roman" w:hAnsi="Times New Roman" w:eastAsia="仿宋_GB2312" w:cs="Times New Roman"/>
          <w:color w:val="auto"/>
          <w:spacing w:val="1"/>
          <w:kern w:val="2"/>
          <w:sz w:val="32"/>
          <w:szCs w:val="32"/>
          <w:lang w:val="en-US" w:eastAsia="zh-CN" w:bidi="ar-SA"/>
        </w:rPr>
        <w:t>左右，</w:t>
      </w:r>
      <w:r>
        <w:rPr>
          <w:rFonts w:hint="default" w:ascii="Times New Roman" w:hAnsi="Times New Roman" w:eastAsia="仿宋_GB2312" w:cs="Times New Roman"/>
          <w:color w:val="auto"/>
          <w:spacing w:val="1"/>
          <w:kern w:val="2"/>
          <w:sz w:val="32"/>
          <w:szCs w:val="32"/>
          <w:lang w:val="en-US" w:eastAsia="en-US" w:bidi="ar-SA"/>
        </w:rPr>
        <w:t>其中新能源运输</w:t>
      </w:r>
      <w:r>
        <w:rPr>
          <w:rFonts w:hint="default" w:ascii="Times New Roman" w:hAnsi="Times New Roman" w:eastAsia="仿宋_GB2312" w:cs="Times New Roman"/>
          <w:color w:val="auto"/>
          <w:spacing w:val="1"/>
          <w:kern w:val="2"/>
          <w:sz w:val="32"/>
          <w:szCs w:val="32"/>
          <w:lang w:val="en-US" w:eastAsia="zh-CN" w:bidi="ar-SA"/>
        </w:rPr>
        <w:t>量</w:t>
      </w:r>
      <w:r>
        <w:rPr>
          <w:rFonts w:hint="default" w:ascii="Times New Roman" w:hAnsi="Times New Roman" w:eastAsia="仿宋_GB2312" w:cs="Times New Roman"/>
          <w:color w:val="auto"/>
          <w:spacing w:val="1"/>
          <w:kern w:val="2"/>
          <w:sz w:val="32"/>
          <w:szCs w:val="32"/>
          <w:lang w:val="en-US" w:eastAsia="en-US" w:bidi="ar-SA"/>
        </w:rPr>
        <w:t>占比</w:t>
      </w:r>
      <w:r>
        <w:rPr>
          <w:rFonts w:hint="default" w:ascii="Times New Roman" w:hAnsi="Times New Roman" w:eastAsia="仿宋_GB2312" w:cs="Times New Roman"/>
          <w:color w:val="auto"/>
          <w:spacing w:val="1"/>
          <w:kern w:val="2"/>
          <w:sz w:val="32"/>
          <w:szCs w:val="32"/>
          <w:lang w:val="en-US" w:eastAsia="zh-CN" w:bidi="ar-SA"/>
        </w:rPr>
        <w:t>达到</w:t>
      </w:r>
      <w:r>
        <w:rPr>
          <w:rFonts w:hint="default" w:ascii="Times New Roman" w:hAnsi="Times New Roman" w:eastAsia="仿宋_GB2312" w:cs="Times New Roman"/>
          <w:color w:val="auto"/>
          <w:spacing w:val="1"/>
          <w:kern w:val="2"/>
          <w:sz w:val="32"/>
          <w:szCs w:val="32"/>
          <w:lang w:val="en-US" w:eastAsia="en-US" w:bidi="ar-SA"/>
        </w:rPr>
        <w:t>25%以上</w:t>
      </w:r>
      <w:r>
        <w:rPr>
          <w:rFonts w:hint="default" w:ascii="Times New Roman" w:hAnsi="Times New Roman" w:eastAsia="仿宋_GB2312" w:cs="Times New Roman"/>
          <w:color w:val="auto"/>
          <w:spacing w:val="1"/>
          <w:kern w:val="2"/>
          <w:sz w:val="32"/>
          <w:szCs w:val="32"/>
          <w:lang w:val="en-US" w:eastAsia="zh-CN" w:bidi="ar-SA"/>
        </w:rPr>
        <w:t>、</w:t>
      </w:r>
      <w:r>
        <w:rPr>
          <w:rFonts w:hint="default" w:ascii="Times New Roman" w:hAnsi="Times New Roman" w:eastAsia="仿宋_GB2312" w:cs="Times New Roman"/>
          <w:color w:val="auto"/>
          <w:spacing w:val="1"/>
          <w:kern w:val="2"/>
          <w:sz w:val="32"/>
          <w:szCs w:val="32"/>
          <w:lang w:val="en-US" w:eastAsia="en-US" w:bidi="ar-SA"/>
        </w:rPr>
        <w:t>较2025年提高15.4个百分点</w:t>
      </w:r>
      <w:r>
        <w:rPr>
          <w:rFonts w:hint="default" w:ascii="Times New Roman" w:hAnsi="Times New Roman" w:eastAsia="仿宋_GB2312" w:cs="Times New Roman"/>
          <w:color w:val="auto"/>
          <w:spacing w:val="1"/>
          <w:kern w:val="2"/>
          <w:sz w:val="32"/>
          <w:szCs w:val="32"/>
          <w:lang w:val="en-US" w:eastAsia="zh-CN" w:bidi="ar-SA"/>
        </w:rPr>
        <w:t>。</w:t>
      </w:r>
      <w:r>
        <w:rPr>
          <w:rFonts w:hint="default" w:ascii="Times New Roman" w:hAnsi="Times New Roman" w:eastAsia="仿宋_GB2312" w:cs="Times New Roman"/>
          <w:color w:val="auto"/>
          <w:spacing w:val="1"/>
          <w:kern w:val="2"/>
          <w:sz w:val="32"/>
          <w:szCs w:val="32"/>
          <w:lang w:val="en-US" w:eastAsia="en-US" w:bidi="ar-SA"/>
        </w:rPr>
        <w:t>铁路货运量</w:t>
      </w:r>
      <w:r>
        <w:rPr>
          <w:rFonts w:hint="default" w:ascii="Times New Roman" w:hAnsi="Times New Roman" w:eastAsia="仿宋_GB2312" w:cs="Times New Roman"/>
          <w:color w:val="auto"/>
          <w:spacing w:val="1"/>
          <w:kern w:val="2"/>
          <w:sz w:val="32"/>
          <w:szCs w:val="32"/>
          <w:lang w:val="en-US" w:eastAsia="zh-CN" w:bidi="ar-SA"/>
        </w:rPr>
        <w:t>（包含发送量和到达量）</w:t>
      </w:r>
      <w:r>
        <w:rPr>
          <w:rFonts w:hint="default" w:ascii="Times New Roman" w:hAnsi="Times New Roman" w:eastAsia="仿宋_GB2312" w:cs="Times New Roman"/>
          <w:color w:val="auto"/>
          <w:spacing w:val="1"/>
          <w:kern w:val="2"/>
          <w:sz w:val="32"/>
          <w:szCs w:val="32"/>
          <w:lang w:val="en-US" w:eastAsia="en-US" w:bidi="ar-SA"/>
        </w:rPr>
        <w:t>占比达到</w:t>
      </w:r>
      <w:r>
        <w:rPr>
          <w:rFonts w:hint="default" w:ascii="Times New Roman" w:hAnsi="Times New Roman" w:eastAsia="仿宋_GB2312" w:cs="Times New Roman"/>
          <w:color w:val="auto"/>
          <w:spacing w:val="1"/>
          <w:kern w:val="2"/>
          <w:sz w:val="32"/>
          <w:szCs w:val="32"/>
          <w:lang w:val="en-US" w:eastAsia="zh-CN" w:bidi="ar-SA"/>
        </w:rPr>
        <w:t>12.3</w:t>
      </w:r>
      <w:r>
        <w:rPr>
          <w:rFonts w:hint="default" w:ascii="Times New Roman" w:hAnsi="Times New Roman" w:eastAsia="仿宋_GB2312" w:cs="Times New Roman"/>
          <w:color w:val="auto"/>
          <w:spacing w:val="1"/>
          <w:kern w:val="2"/>
          <w:sz w:val="32"/>
          <w:szCs w:val="32"/>
          <w:lang w:val="en-US" w:eastAsia="en-US" w:bidi="ar-SA"/>
        </w:rPr>
        <w:t>%左右。</w:t>
      </w:r>
    </w:p>
    <w:p w14:paraId="547B0F78">
      <w:pPr>
        <w:autoSpaceDE w:val="0"/>
        <w:autoSpaceDN w:val="0"/>
        <w:spacing w:before="44" w:after="40" w:line="240" w:lineRule="auto"/>
        <w:ind w:left="122" w:right="186" w:firstLine="0"/>
        <w:jc w:val="center"/>
        <w:rPr>
          <w:rFonts w:hint="eastAsia" w:ascii="方正小标宋简体" w:hAnsi="方正小标宋简体" w:eastAsia="方正小标宋简体" w:cs="方正小标宋简体"/>
          <w:b w:val="0"/>
          <w:bCs/>
          <w:color w:val="auto"/>
          <w:kern w:val="0"/>
          <w:sz w:val="28"/>
          <w:szCs w:val="22"/>
          <w:highlight w:val="none"/>
          <w:lang w:eastAsia="en-US"/>
        </w:rPr>
      </w:pPr>
      <w:r>
        <w:rPr>
          <w:rFonts w:hint="eastAsia" w:ascii="方正小标宋简体" w:hAnsi="方正小标宋简体" w:eastAsia="方正小标宋简体" w:cs="方正小标宋简体"/>
          <w:b w:val="0"/>
          <w:bCs/>
          <w:color w:val="auto"/>
          <w:kern w:val="0"/>
          <w:sz w:val="28"/>
          <w:szCs w:val="22"/>
          <w:highlight w:val="none"/>
          <w:lang w:val="en-US" w:eastAsia="zh-CN"/>
        </w:rPr>
        <w:t>交通</w:t>
      </w:r>
      <w:r>
        <w:rPr>
          <w:rFonts w:hint="eastAsia" w:ascii="方正小标宋简体" w:hAnsi="方正小标宋简体" w:eastAsia="方正小标宋简体" w:cs="方正小标宋简体"/>
          <w:b w:val="0"/>
          <w:bCs/>
          <w:color w:val="auto"/>
          <w:kern w:val="0"/>
          <w:sz w:val="28"/>
          <w:szCs w:val="22"/>
          <w:highlight w:val="none"/>
          <w:lang w:eastAsia="en-US"/>
        </w:rPr>
        <w:t>运输结构调整分年度指标</w:t>
      </w:r>
    </w:p>
    <w:tbl>
      <w:tblPr>
        <w:tblStyle w:val="10"/>
        <w:tblW w:w="87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1"/>
        <w:gridCol w:w="4422"/>
        <w:gridCol w:w="1141"/>
        <w:gridCol w:w="1190"/>
        <w:gridCol w:w="1173"/>
      </w:tblGrid>
      <w:tr w14:paraId="569C5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exact"/>
          <w:jc w:val="center"/>
        </w:trPr>
        <w:tc>
          <w:tcPr>
            <w:tcW w:w="791" w:type="dxa"/>
            <w:vAlign w:val="center"/>
          </w:tcPr>
          <w:p w14:paraId="6DCB0409">
            <w:pPr>
              <w:keepNext w:val="0"/>
              <w:keepLines w:val="0"/>
              <w:pageBreakBefore w:val="0"/>
              <w:widowControl w:val="0"/>
              <w:kinsoku/>
              <w:wordWrap/>
              <w:overflowPunct/>
              <w:topLinePunct w:val="0"/>
              <w:autoSpaceDE w:val="0"/>
              <w:autoSpaceDN w:val="0"/>
              <w:bidi w:val="0"/>
              <w:adjustRightInd/>
              <w:snapToGrid w:val="0"/>
              <w:spacing w:before="24" w:after="0" w:line="242" w:lineRule="auto"/>
              <w:ind w:left="122" w:right="113"/>
              <w:jc w:val="center"/>
              <w:textAlignment w:val="auto"/>
              <w:rPr>
                <w:rFonts w:hint="eastAsia" w:ascii="黑体" w:hAnsi="黑体" w:eastAsia="黑体" w:cs="黑体"/>
                <w:b w:val="0"/>
                <w:bCs/>
                <w:color w:val="auto"/>
                <w:sz w:val="24"/>
                <w:szCs w:val="24"/>
                <w:highlight w:val="none"/>
                <w:lang w:val="en-US" w:eastAsia="en-US" w:bidi="ar-SA"/>
              </w:rPr>
            </w:pPr>
            <w:r>
              <w:rPr>
                <w:rFonts w:hint="eastAsia" w:ascii="黑体" w:hAnsi="黑体" w:eastAsia="黑体" w:cs="黑体"/>
                <w:b w:val="0"/>
                <w:bCs/>
                <w:color w:val="auto"/>
                <w:sz w:val="24"/>
                <w:szCs w:val="24"/>
                <w:highlight w:val="none"/>
                <w:lang w:val="en-US" w:eastAsia="en-US" w:bidi="ar-SA"/>
              </w:rPr>
              <w:t>指标类别</w:t>
            </w:r>
          </w:p>
        </w:tc>
        <w:tc>
          <w:tcPr>
            <w:tcW w:w="4422" w:type="dxa"/>
            <w:vAlign w:val="center"/>
          </w:tcPr>
          <w:p w14:paraId="0EF6032B">
            <w:pPr>
              <w:keepNext w:val="0"/>
              <w:keepLines w:val="0"/>
              <w:pageBreakBefore w:val="0"/>
              <w:widowControl w:val="0"/>
              <w:kinsoku/>
              <w:wordWrap/>
              <w:overflowPunct/>
              <w:topLinePunct w:val="0"/>
              <w:autoSpaceDE w:val="0"/>
              <w:autoSpaceDN w:val="0"/>
              <w:bidi w:val="0"/>
              <w:adjustRightInd/>
              <w:snapToGrid w:val="0"/>
              <w:spacing w:before="181" w:after="0" w:line="240" w:lineRule="auto"/>
              <w:ind w:left="276" w:right="268"/>
              <w:jc w:val="center"/>
              <w:textAlignment w:val="auto"/>
              <w:rPr>
                <w:rFonts w:hint="eastAsia" w:ascii="黑体" w:hAnsi="黑体" w:eastAsia="黑体" w:cs="黑体"/>
                <w:b w:val="0"/>
                <w:bCs/>
                <w:color w:val="auto"/>
                <w:sz w:val="24"/>
                <w:szCs w:val="24"/>
                <w:highlight w:val="none"/>
                <w:lang w:val="en-US" w:eastAsia="en-US" w:bidi="ar-SA"/>
              </w:rPr>
            </w:pPr>
            <w:r>
              <w:rPr>
                <w:rFonts w:hint="eastAsia" w:ascii="黑体" w:hAnsi="黑体" w:eastAsia="黑体" w:cs="黑体"/>
                <w:b w:val="0"/>
                <w:bCs/>
                <w:color w:val="auto"/>
                <w:sz w:val="24"/>
                <w:szCs w:val="24"/>
                <w:highlight w:val="none"/>
                <w:lang w:val="en-US" w:eastAsia="en-US" w:bidi="ar-SA"/>
              </w:rPr>
              <w:t>具体指标</w:t>
            </w:r>
          </w:p>
        </w:tc>
        <w:tc>
          <w:tcPr>
            <w:tcW w:w="1141" w:type="dxa"/>
            <w:vAlign w:val="center"/>
          </w:tcPr>
          <w:p w14:paraId="09996569">
            <w:pPr>
              <w:keepNext w:val="0"/>
              <w:keepLines w:val="0"/>
              <w:pageBreakBefore w:val="0"/>
              <w:widowControl w:val="0"/>
              <w:kinsoku/>
              <w:wordWrap/>
              <w:overflowPunct/>
              <w:topLinePunct w:val="0"/>
              <w:autoSpaceDE w:val="0"/>
              <w:autoSpaceDN w:val="0"/>
              <w:bidi w:val="0"/>
              <w:adjustRightInd/>
              <w:snapToGrid w:val="0"/>
              <w:spacing w:before="181" w:after="0" w:line="240" w:lineRule="auto"/>
              <w:ind w:left="127" w:right="118"/>
              <w:jc w:val="center"/>
              <w:textAlignment w:val="auto"/>
              <w:rPr>
                <w:rFonts w:hint="eastAsia" w:ascii="黑体" w:hAnsi="黑体" w:eastAsia="黑体" w:cs="黑体"/>
                <w:b w:val="0"/>
                <w:bCs/>
                <w:color w:val="auto"/>
                <w:sz w:val="24"/>
                <w:szCs w:val="24"/>
                <w:highlight w:val="none"/>
                <w:lang w:val="en-US" w:eastAsia="en-US" w:bidi="ar-SA"/>
              </w:rPr>
            </w:pPr>
            <w:r>
              <w:rPr>
                <w:rFonts w:hint="eastAsia" w:ascii="黑体" w:hAnsi="黑体" w:eastAsia="黑体" w:cs="黑体"/>
                <w:b w:val="0"/>
                <w:bCs/>
                <w:color w:val="auto"/>
                <w:sz w:val="24"/>
                <w:szCs w:val="24"/>
                <w:highlight w:val="none"/>
                <w:lang w:val="en-US" w:eastAsia="en-US" w:bidi="ar-SA"/>
              </w:rPr>
              <w:t>2026年</w:t>
            </w:r>
          </w:p>
        </w:tc>
        <w:tc>
          <w:tcPr>
            <w:tcW w:w="1190" w:type="dxa"/>
            <w:vAlign w:val="center"/>
          </w:tcPr>
          <w:p w14:paraId="30ABC80C">
            <w:pPr>
              <w:keepNext w:val="0"/>
              <w:keepLines w:val="0"/>
              <w:pageBreakBefore w:val="0"/>
              <w:widowControl w:val="0"/>
              <w:kinsoku/>
              <w:wordWrap/>
              <w:overflowPunct/>
              <w:topLinePunct w:val="0"/>
              <w:autoSpaceDE w:val="0"/>
              <w:autoSpaceDN w:val="0"/>
              <w:bidi w:val="0"/>
              <w:adjustRightInd/>
              <w:snapToGrid w:val="0"/>
              <w:spacing w:before="181" w:after="0" w:line="240" w:lineRule="auto"/>
              <w:ind w:left="127" w:right="118"/>
              <w:jc w:val="center"/>
              <w:textAlignment w:val="auto"/>
              <w:rPr>
                <w:rFonts w:hint="eastAsia" w:ascii="黑体" w:hAnsi="黑体" w:eastAsia="黑体" w:cs="黑体"/>
                <w:b w:val="0"/>
                <w:bCs/>
                <w:color w:val="auto"/>
                <w:sz w:val="24"/>
                <w:szCs w:val="24"/>
                <w:highlight w:val="none"/>
                <w:lang w:val="en-US" w:eastAsia="en-US" w:bidi="ar-SA"/>
              </w:rPr>
            </w:pPr>
            <w:r>
              <w:rPr>
                <w:rFonts w:hint="eastAsia" w:ascii="黑体" w:hAnsi="黑体" w:eastAsia="黑体" w:cs="黑体"/>
                <w:b w:val="0"/>
                <w:bCs/>
                <w:color w:val="auto"/>
                <w:sz w:val="24"/>
                <w:szCs w:val="24"/>
                <w:highlight w:val="none"/>
                <w:lang w:val="en-US" w:eastAsia="en-US" w:bidi="ar-SA"/>
              </w:rPr>
              <w:t>2027年</w:t>
            </w:r>
          </w:p>
        </w:tc>
        <w:tc>
          <w:tcPr>
            <w:tcW w:w="1173" w:type="dxa"/>
            <w:vAlign w:val="center"/>
          </w:tcPr>
          <w:p w14:paraId="35EEE523">
            <w:pPr>
              <w:keepNext w:val="0"/>
              <w:keepLines w:val="0"/>
              <w:pageBreakBefore w:val="0"/>
              <w:widowControl w:val="0"/>
              <w:kinsoku/>
              <w:wordWrap/>
              <w:overflowPunct/>
              <w:topLinePunct w:val="0"/>
              <w:autoSpaceDE w:val="0"/>
              <w:autoSpaceDN w:val="0"/>
              <w:bidi w:val="0"/>
              <w:adjustRightInd/>
              <w:snapToGrid w:val="0"/>
              <w:spacing w:before="181" w:after="0" w:line="240" w:lineRule="auto"/>
              <w:ind w:left="127" w:right="118"/>
              <w:jc w:val="center"/>
              <w:textAlignment w:val="auto"/>
              <w:rPr>
                <w:rFonts w:hint="eastAsia" w:ascii="黑体" w:hAnsi="黑体" w:eastAsia="黑体" w:cs="黑体"/>
                <w:b w:val="0"/>
                <w:bCs/>
                <w:color w:val="auto"/>
                <w:sz w:val="24"/>
                <w:szCs w:val="24"/>
                <w:highlight w:val="none"/>
                <w:lang w:val="en-US" w:eastAsia="en-US" w:bidi="ar-SA"/>
              </w:rPr>
            </w:pPr>
            <w:r>
              <w:rPr>
                <w:rFonts w:hint="eastAsia" w:ascii="黑体" w:hAnsi="黑体" w:eastAsia="黑体" w:cs="黑体"/>
                <w:b w:val="0"/>
                <w:bCs/>
                <w:color w:val="auto"/>
                <w:sz w:val="24"/>
                <w:szCs w:val="24"/>
                <w:highlight w:val="none"/>
                <w:lang w:val="en-US" w:eastAsia="en-US" w:bidi="ar-SA"/>
              </w:rPr>
              <w:t>2028年</w:t>
            </w:r>
          </w:p>
        </w:tc>
      </w:tr>
      <w:tr w14:paraId="6E110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restart"/>
            <w:vAlign w:val="center"/>
          </w:tcPr>
          <w:p w14:paraId="5848BBBD">
            <w:pPr>
              <w:widowControl w:val="0"/>
              <w:autoSpaceDE w:val="0"/>
              <w:autoSpaceDN w:val="0"/>
              <w:spacing w:before="1" w:after="0" w:line="242" w:lineRule="auto"/>
              <w:ind w:left="122" w:right="113"/>
              <w:jc w:val="center"/>
              <w:rPr>
                <w:rFonts w:hint="eastAsia" w:ascii="宋体" w:hAnsi="宋体" w:eastAsia="宋体" w:cs="宋体"/>
                <w:b w:val="0"/>
                <w:bCs/>
                <w:color w:val="auto"/>
                <w:sz w:val="24"/>
                <w:szCs w:val="24"/>
                <w:highlight w:val="none"/>
                <w:lang w:val="en-US" w:eastAsia="en-US" w:bidi="ar-SA"/>
              </w:rPr>
            </w:pPr>
            <w:r>
              <w:rPr>
                <w:rFonts w:hint="eastAsia" w:ascii="宋体" w:hAnsi="宋体" w:eastAsia="宋体" w:cs="宋体"/>
                <w:b w:val="0"/>
                <w:bCs/>
                <w:color w:val="auto"/>
                <w:sz w:val="24"/>
                <w:szCs w:val="24"/>
                <w:highlight w:val="none"/>
                <w:lang w:val="en-US" w:eastAsia="en-US" w:bidi="ar-SA"/>
              </w:rPr>
              <w:t>运输结构</w:t>
            </w:r>
          </w:p>
        </w:tc>
        <w:tc>
          <w:tcPr>
            <w:tcW w:w="4422" w:type="dxa"/>
            <w:vAlign w:val="center"/>
          </w:tcPr>
          <w:p w14:paraId="41A54898">
            <w:pPr>
              <w:widowControl w:val="0"/>
              <w:autoSpaceDE w:val="0"/>
              <w:autoSpaceDN w:val="0"/>
              <w:spacing w:before="117" w:after="0" w:line="240" w:lineRule="auto"/>
              <w:ind w:left="678" w:right="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公路货运量占比（%）</w:t>
            </w:r>
          </w:p>
        </w:tc>
        <w:tc>
          <w:tcPr>
            <w:tcW w:w="1141" w:type="dxa"/>
            <w:vAlign w:val="center"/>
          </w:tcPr>
          <w:p w14:paraId="03EF4F20">
            <w:pPr>
              <w:widowControl w:val="0"/>
              <w:autoSpaceDE w:val="0"/>
              <w:autoSpaceDN w:val="0"/>
              <w:spacing w:before="132" w:after="0" w:line="240" w:lineRule="auto"/>
              <w:ind w:left="127" w:right="116"/>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en-US" w:bidi="ar-SA"/>
              </w:rPr>
              <w:t>8</w:t>
            </w:r>
            <w:r>
              <w:rPr>
                <w:rFonts w:hint="eastAsia" w:ascii="宋体" w:hAnsi="宋体" w:eastAsia="宋体" w:cs="宋体"/>
                <w:color w:val="auto"/>
                <w:sz w:val="24"/>
                <w:szCs w:val="24"/>
                <w:highlight w:val="none"/>
                <w:lang w:val="en-US" w:eastAsia="zh-CN" w:bidi="ar-SA"/>
              </w:rPr>
              <w:t>8</w:t>
            </w:r>
            <w:r>
              <w:rPr>
                <w:rFonts w:hint="eastAsia" w:ascii="宋体" w:hAnsi="宋体" w:eastAsia="宋体" w:cs="宋体"/>
                <w:color w:val="auto"/>
                <w:sz w:val="24"/>
                <w:szCs w:val="24"/>
                <w:highlight w:val="none"/>
                <w:lang w:val="en-US" w:eastAsia="en-US" w:bidi="ar-SA"/>
              </w:rPr>
              <w:t>.</w:t>
            </w:r>
            <w:r>
              <w:rPr>
                <w:rFonts w:hint="eastAsia" w:ascii="宋体" w:hAnsi="宋体" w:eastAsia="宋体" w:cs="宋体"/>
                <w:color w:val="auto"/>
                <w:sz w:val="24"/>
                <w:szCs w:val="24"/>
                <w:highlight w:val="none"/>
                <w:lang w:val="en-US" w:eastAsia="zh-CN" w:bidi="ar-SA"/>
              </w:rPr>
              <w:t>1</w:t>
            </w:r>
          </w:p>
        </w:tc>
        <w:tc>
          <w:tcPr>
            <w:tcW w:w="1190" w:type="dxa"/>
            <w:vAlign w:val="center"/>
          </w:tcPr>
          <w:p w14:paraId="66FE04E3">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en-US" w:bidi="ar-SA"/>
              </w:rPr>
              <w:t>8</w:t>
            </w:r>
            <w:r>
              <w:rPr>
                <w:rFonts w:hint="eastAsia" w:ascii="宋体" w:hAnsi="宋体" w:eastAsia="宋体" w:cs="宋体"/>
                <w:color w:val="auto"/>
                <w:sz w:val="24"/>
                <w:szCs w:val="24"/>
                <w:highlight w:val="none"/>
                <w:lang w:val="en-US" w:eastAsia="zh-CN" w:bidi="ar-SA"/>
              </w:rPr>
              <w:t>7.9</w:t>
            </w:r>
          </w:p>
        </w:tc>
        <w:tc>
          <w:tcPr>
            <w:tcW w:w="1173" w:type="dxa"/>
            <w:vAlign w:val="center"/>
          </w:tcPr>
          <w:p w14:paraId="21BEE144">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en-US" w:bidi="ar-SA"/>
              </w:rPr>
              <w:t>8</w:t>
            </w:r>
            <w:r>
              <w:rPr>
                <w:rFonts w:hint="eastAsia" w:ascii="宋体" w:hAnsi="宋体" w:eastAsia="宋体" w:cs="宋体"/>
                <w:color w:val="auto"/>
                <w:sz w:val="24"/>
                <w:szCs w:val="24"/>
                <w:highlight w:val="none"/>
                <w:lang w:val="en-US" w:eastAsia="zh-CN" w:bidi="ar-SA"/>
              </w:rPr>
              <w:t>7.7</w:t>
            </w:r>
          </w:p>
        </w:tc>
      </w:tr>
      <w:tr w14:paraId="120FC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continue"/>
            <w:vAlign w:val="center"/>
          </w:tcPr>
          <w:p w14:paraId="727B061F">
            <w:pPr>
              <w:autoSpaceDE w:val="0"/>
              <w:autoSpaceDN w:val="0"/>
              <w:spacing w:before="0" w:after="0" w:line="240" w:lineRule="auto"/>
              <w:ind w:left="0" w:right="0"/>
              <w:jc w:val="center"/>
              <w:rPr>
                <w:rFonts w:hint="eastAsia" w:ascii="宋体" w:hAnsi="宋体" w:eastAsia="宋体" w:cs="宋体"/>
                <w:b w:val="0"/>
                <w:bCs/>
                <w:color w:val="auto"/>
                <w:kern w:val="0"/>
                <w:sz w:val="24"/>
                <w:szCs w:val="24"/>
                <w:highlight w:val="none"/>
                <w:lang w:eastAsia="en-US"/>
              </w:rPr>
            </w:pPr>
          </w:p>
        </w:tc>
        <w:tc>
          <w:tcPr>
            <w:tcW w:w="4422" w:type="dxa"/>
            <w:vAlign w:val="center"/>
          </w:tcPr>
          <w:p w14:paraId="03478C00">
            <w:pPr>
              <w:widowControl w:val="0"/>
              <w:autoSpaceDE w:val="0"/>
              <w:autoSpaceDN w:val="0"/>
              <w:spacing w:before="117" w:after="0" w:line="240" w:lineRule="auto"/>
              <w:ind w:left="198" w:right="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公路货运量中新能源</w:t>
            </w:r>
            <w:r>
              <w:rPr>
                <w:rFonts w:hint="eastAsia" w:ascii="宋体" w:hAnsi="宋体" w:eastAsia="宋体" w:cs="宋体"/>
                <w:color w:val="auto"/>
                <w:sz w:val="24"/>
                <w:szCs w:val="24"/>
                <w:highlight w:val="none"/>
                <w:lang w:val="en-US" w:eastAsia="zh-CN" w:bidi="ar-SA"/>
              </w:rPr>
              <w:t>运输量</w:t>
            </w:r>
            <w:r>
              <w:rPr>
                <w:rFonts w:hint="eastAsia" w:ascii="宋体" w:hAnsi="宋体" w:eastAsia="宋体" w:cs="宋体"/>
                <w:color w:val="auto"/>
                <w:sz w:val="24"/>
                <w:szCs w:val="24"/>
                <w:highlight w:val="none"/>
                <w:lang w:val="en-US" w:eastAsia="en-US" w:bidi="ar-SA"/>
              </w:rPr>
              <w:t>占比（%）</w:t>
            </w:r>
          </w:p>
        </w:tc>
        <w:tc>
          <w:tcPr>
            <w:tcW w:w="1141" w:type="dxa"/>
            <w:vAlign w:val="center"/>
          </w:tcPr>
          <w:p w14:paraId="37F364E2">
            <w:pPr>
              <w:widowControl w:val="0"/>
              <w:autoSpaceDE w:val="0"/>
              <w:autoSpaceDN w:val="0"/>
              <w:spacing w:before="132" w:after="0" w:line="240" w:lineRule="auto"/>
              <w:ind w:left="127" w:right="116"/>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15</w:t>
            </w:r>
          </w:p>
        </w:tc>
        <w:tc>
          <w:tcPr>
            <w:tcW w:w="1190" w:type="dxa"/>
            <w:vAlign w:val="center"/>
          </w:tcPr>
          <w:p w14:paraId="5AA02D3E">
            <w:pPr>
              <w:widowControl w:val="0"/>
              <w:autoSpaceDE w:val="0"/>
              <w:autoSpaceDN w:val="0"/>
              <w:spacing w:before="132" w:after="0" w:line="240" w:lineRule="auto"/>
              <w:ind w:left="127" w:right="116"/>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20</w:t>
            </w:r>
          </w:p>
        </w:tc>
        <w:tc>
          <w:tcPr>
            <w:tcW w:w="1173" w:type="dxa"/>
            <w:vAlign w:val="center"/>
          </w:tcPr>
          <w:p w14:paraId="26FDBC8C">
            <w:pPr>
              <w:widowControl w:val="0"/>
              <w:autoSpaceDE w:val="0"/>
              <w:autoSpaceDN w:val="0"/>
              <w:spacing w:before="132" w:after="0" w:line="240" w:lineRule="auto"/>
              <w:ind w:left="127" w:right="116"/>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25</w:t>
            </w:r>
          </w:p>
        </w:tc>
      </w:tr>
      <w:tr w14:paraId="6A265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continue"/>
            <w:vAlign w:val="center"/>
          </w:tcPr>
          <w:p w14:paraId="51CB26FE">
            <w:pPr>
              <w:autoSpaceDE w:val="0"/>
              <w:autoSpaceDN w:val="0"/>
              <w:spacing w:before="0" w:after="0" w:line="240" w:lineRule="auto"/>
              <w:ind w:left="0" w:right="0"/>
              <w:jc w:val="center"/>
              <w:rPr>
                <w:rFonts w:hint="eastAsia" w:ascii="宋体" w:hAnsi="宋体" w:eastAsia="宋体" w:cs="宋体"/>
                <w:b w:val="0"/>
                <w:bCs/>
                <w:color w:val="auto"/>
                <w:kern w:val="0"/>
                <w:sz w:val="24"/>
                <w:szCs w:val="24"/>
                <w:highlight w:val="none"/>
                <w:lang w:eastAsia="en-US"/>
              </w:rPr>
            </w:pPr>
          </w:p>
        </w:tc>
        <w:tc>
          <w:tcPr>
            <w:tcW w:w="4422" w:type="dxa"/>
            <w:shd w:val="clear" w:color="auto" w:fill="auto"/>
            <w:vAlign w:val="center"/>
          </w:tcPr>
          <w:p w14:paraId="1FC8DFD6">
            <w:pPr>
              <w:widowControl w:val="0"/>
              <w:autoSpaceDE w:val="0"/>
              <w:autoSpaceDN w:val="0"/>
              <w:spacing w:before="118" w:after="0" w:line="240" w:lineRule="auto"/>
              <w:ind w:left="678" w:leftChars="0" w:right="0" w:rightChars="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铁路货运量占比（%）</w:t>
            </w:r>
          </w:p>
        </w:tc>
        <w:tc>
          <w:tcPr>
            <w:tcW w:w="1141" w:type="dxa"/>
            <w:shd w:val="clear" w:color="auto" w:fill="auto"/>
            <w:vAlign w:val="center"/>
          </w:tcPr>
          <w:p w14:paraId="6FCAFCB9">
            <w:pPr>
              <w:widowControl w:val="0"/>
              <w:autoSpaceDE w:val="0"/>
              <w:autoSpaceDN w:val="0"/>
              <w:spacing w:before="132" w:after="0" w:line="240" w:lineRule="auto"/>
              <w:ind w:left="127" w:leftChars="0" w:right="116" w:rightChars="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11.9</w:t>
            </w:r>
          </w:p>
          <w:p w14:paraId="35691CD7">
            <w:pPr>
              <w:pStyle w:val="2"/>
              <w:rPr>
                <w:rFonts w:hint="default"/>
                <w:highlight w:val="none"/>
                <w:lang w:val="en-US" w:eastAsia="zh-CN"/>
              </w:rPr>
            </w:pPr>
          </w:p>
        </w:tc>
        <w:tc>
          <w:tcPr>
            <w:tcW w:w="1190" w:type="dxa"/>
            <w:shd w:val="clear" w:color="auto" w:fill="auto"/>
            <w:vAlign w:val="center"/>
          </w:tcPr>
          <w:p w14:paraId="2CE0F255">
            <w:pPr>
              <w:widowControl w:val="0"/>
              <w:autoSpaceDE w:val="0"/>
              <w:autoSpaceDN w:val="0"/>
              <w:spacing w:before="132" w:after="0" w:line="240" w:lineRule="auto"/>
              <w:ind w:left="127" w:leftChars="0" w:right="116" w:rightChars="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12.1</w:t>
            </w:r>
          </w:p>
        </w:tc>
        <w:tc>
          <w:tcPr>
            <w:tcW w:w="1173" w:type="dxa"/>
            <w:shd w:val="clear" w:color="auto" w:fill="auto"/>
            <w:vAlign w:val="center"/>
          </w:tcPr>
          <w:p w14:paraId="489496EE">
            <w:pPr>
              <w:widowControl w:val="0"/>
              <w:autoSpaceDE w:val="0"/>
              <w:autoSpaceDN w:val="0"/>
              <w:spacing w:before="132" w:after="0" w:line="240" w:lineRule="auto"/>
              <w:ind w:left="127" w:leftChars="0" w:right="116" w:rightChars="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12.3</w:t>
            </w:r>
          </w:p>
        </w:tc>
      </w:tr>
      <w:tr w14:paraId="60A98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restart"/>
            <w:vAlign w:val="center"/>
          </w:tcPr>
          <w:p w14:paraId="422288E7">
            <w:pPr>
              <w:autoSpaceDE w:val="0"/>
              <w:autoSpaceDN w:val="0"/>
              <w:spacing w:before="0" w:after="0" w:line="240" w:lineRule="auto"/>
              <w:ind w:left="0" w:right="0"/>
              <w:jc w:val="center"/>
              <w:rPr>
                <w:rFonts w:hint="eastAsia" w:ascii="宋体" w:hAnsi="宋体" w:eastAsia="宋体" w:cs="宋体"/>
                <w:b w:val="0"/>
                <w:bCs/>
                <w:color w:val="auto"/>
                <w:sz w:val="24"/>
                <w:szCs w:val="24"/>
                <w:highlight w:val="none"/>
                <w:lang w:val="en-US" w:eastAsia="en-US" w:bidi="ar-SA"/>
              </w:rPr>
            </w:pPr>
            <w:r>
              <w:rPr>
                <w:rFonts w:hint="eastAsia" w:ascii="宋体" w:hAnsi="宋体" w:eastAsia="宋体" w:cs="宋体"/>
                <w:b w:val="0"/>
                <w:bCs/>
                <w:color w:val="auto"/>
                <w:sz w:val="24"/>
                <w:szCs w:val="24"/>
                <w:highlight w:val="none"/>
                <w:lang w:val="en-US" w:eastAsia="en-US" w:bidi="ar-SA"/>
              </w:rPr>
              <w:t>基础</w:t>
            </w:r>
          </w:p>
          <w:p w14:paraId="13AF0341">
            <w:pPr>
              <w:autoSpaceDE w:val="0"/>
              <w:autoSpaceDN w:val="0"/>
              <w:spacing w:before="0" w:after="0" w:line="240" w:lineRule="auto"/>
              <w:ind w:left="0" w:right="0"/>
              <w:jc w:val="center"/>
              <w:rPr>
                <w:rFonts w:hint="eastAsia" w:ascii="宋体" w:hAnsi="宋体" w:eastAsia="宋体" w:cs="宋体"/>
                <w:b w:val="0"/>
                <w:bCs/>
                <w:color w:val="auto"/>
                <w:kern w:val="0"/>
                <w:sz w:val="24"/>
                <w:szCs w:val="24"/>
                <w:highlight w:val="none"/>
                <w:lang w:eastAsia="en-US"/>
              </w:rPr>
            </w:pPr>
            <w:r>
              <w:rPr>
                <w:rFonts w:hint="eastAsia" w:ascii="宋体" w:hAnsi="宋体" w:eastAsia="宋体" w:cs="宋体"/>
                <w:b w:val="0"/>
                <w:bCs/>
                <w:color w:val="auto"/>
                <w:sz w:val="24"/>
                <w:szCs w:val="24"/>
                <w:highlight w:val="none"/>
                <w:lang w:val="en-US" w:eastAsia="en-US" w:bidi="ar-SA"/>
              </w:rPr>
              <w:t>设施</w:t>
            </w:r>
          </w:p>
        </w:tc>
        <w:tc>
          <w:tcPr>
            <w:tcW w:w="4422" w:type="dxa"/>
            <w:vAlign w:val="center"/>
          </w:tcPr>
          <w:p w14:paraId="6828FEEB">
            <w:pPr>
              <w:widowControl w:val="0"/>
              <w:autoSpaceDE w:val="0"/>
              <w:autoSpaceDN w:val="0"/>
              <w:spacing w:before="117" w:after="0" w:line="240" w:lineRule="auto"/>
              <w:ind w:left="176" w:right="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zh-CN" w:bidi="ar-SA"/>
              </w:rPr>
              <w:t>零碳运输通道里程</w:t>
            </w:r>
            <w:r>
              <w:rPr>
                <w:rFonts w:hint="eastAsia" w:ascii="宋体" w:hAnsi="宋体" w:eastAsia="宋体" w:cs="宋体"/>
                <w:color w:val="auto"/>
                <w:sz w:val="24"/>
                <w:szCs w:val="24"/>
                <w:highlight w:val="none"/>
                <w:lang w:val="en-US" w:eastAsia="en-US" w:bidi="ar-SA"/>
              </w:rPr>
              <w:t>（公里）</w:t>
            </w:r>
          </w:p>
        </w:tc>
        <w:tc>
          <w:tcPr>
            <w:tcW w:w="1141" w:type="dxa"/>
            <w:vAlign w:val="center"/>
          </w:tcPr>
          <w:p w14:paraId="2FECD40C">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40</w:t>
            </w:r>
          </w:p>
        </w:tc>
        <w:tc>
          <w:tcPr>
            <w:tcW w:w="1190" w:type="dxa"/>
            <w:vAlign w:val="center"/>
          </w:tcPr>
          <w:p w14:paraId="59F65C6E">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90</w:t>
            </w:r>
          </w:p>
        </w:tc>
        <w:tc>
          <w:tcPr>
            <w:tcW w:w="1173" w:type="dxa"/>
            <w:vAlign w:val="center"/>
          </w:tcPr>
          <w:p w14:paraId="3A8010E5">
            <w:pPr>
              <w:widowControl w:val="0"/>
              <w:autoSpaceDE w:val="0"/>
              <w:autoSpaceDN w:val="0"/>
              <w:spacing w:before="132" w:after="0" w:line="240" w:lineRule="auto"/>
              <w:ind w:left="127" w:right="116"/>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en-US" w:bidi="ar-SA"/>
              </w:rPr>
              <w:t>00</w:t>
            </w:r>
          </w:p>
        </w:tc>
      </w:tr>
      <w:tr w14:paraId="3B0B0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continue"/>
            <w:tcBorders>
              <w:bottom w:val="single" w:color="000000" w:sz="4" w:space="0"/>
            </w:tcBorders>
            <w:vAlign w:val="center"/>
          </w:tcPr>
          <w:p w14:paraId="5625AA0C">
            <w:pPr>
              <w:autoSpaceDE w:val="0"/>
              <w:autoSpaceDN w:val="0"/>
              <w:spacing w:before="0" w:after="0" w:line="240" w:lineRule="auto"/>
              <w:ind w:left="0" w:right="0"/>
              <w:jc w:val="center"/>
              <w:rPr>
                <w:rFonts w:hint="eastAsia" w:ascii="宋体" w:hAnsi="宋体" w:eastAsia="宋体" w:cs="宋体"/>
                <w:b w:val="0"/>
                <w:bCs/>
                <w:color w:val="auto"/>
                <w:kern w:val="0"/>
                <w:sz w:val="24"/>
                <w:szCs w:val="24"/>
                <w:highlight w:val="none"/>
                <w:lang w:eastAsia="en-US"/>
              </w:rPr>
            </w:pPr>
          </w:p>
        </w:tc>
        <w:tc>
          <w:tcPr>
            <w:tcW w:w="4422" w:type="dxa"/>
            <w:vAlign w:val="center"/>
          </w:tcPr>
          <w:p w14:paraId="23CBA5F1">
            <w:pPr>
              <w:widowControl w:val="0"/>
              <w:autoSpaceDE w:val="0"/>
              <w:autoSpaceDN w:val="0"/>
              <w:spacing w:before="117" w:after="0" w:line="240" w:lineRule="auto"/>
              <w:ind w:left="106" w:right="-29"/>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累计建成绿色低碳服务区/</w:t>
            </w:r>
            <w:r>
              <w:rPr>
                <w:rFonts w:hint="eastAsia" w:ascii="宋体" w:hAnsi="宋体" w:eastAsia="宋体" w:cs="宋体"/>
                <w:color w:val="auto"/>
                <w:spacing w:val="-46"/>
                <w:sz w:val="24"/>
                <w:szCs w:val="24"/>
                <w:highlight w:val="none"/>
                <w:lang w:val="en-US" w:eastAsia="en-US" w:bidi="ar-SA"/>
              </w:rPr>
              <w:t>站</w:t>
            </w:r>
            <w:r>
              <w:rPr>
                <w:rFonts w:hint="eastAsia" w:ascii="宋体" w:hAnsi="宋体" w:eastAsia="宋体" w:cs="宋体"/>
                <w:color w:val="auto"/>
                <w:sz w:val="24"/>
                <w:szCs w:val="24"/>
                <w:highlight w:val="none"/>
                <w:lang w:val="en-US" w:eastAsia="en-US" w:bidi="ar-SA"/>
              </w:rPr>
              <w:t>（个</w:t>
            </w:r>
            <w:r>
              <w:rPr>
                <w:rFonts w:hint="eastAsia" w:ascii="宋体" w:hAnsi="宋体" w:eastAsia="宋体" w:cs="宋体"/>
                <w:color w:val="auto"/>
                <w:spacing w:val="-11"/>
                <w:sz w:val="24"/>
                <w:szCs w:val="24"/>
                <w:highlight w:val="none"/>
                <w:lang w:val="en-US" w:eastAsia="en-US" w:bidi="ar-SA"/>
              </w:rPr>
              <w:t>）</w:t>
            </w:r>
          </w:p>
        </w:tc>
        <w:tc>
          <w:tcPr>
            <w:tcW w:w="1141" w:type="dxa"/>
            <w:vAlign w:val="center"/>
          </w:tcPr>
          <w:p w14:paraId="357ED640">
            <w:pPr>
              <w:widowControl w:val="0"/>
              <w:autoSpaceDE w:val="0"/>
              <w:autoSpaceDN w:val="0"/>
              <w:spacing w:before="132" w:after="0" w:line="240" w:lineRule="auto"/>
              <w:ind w:left="127" w:leftChars="0" w:right="116" w:rightChars="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w:t>
            </w:r>
          </w:p>
        </w:tc>
        <w:tc>
          <w:tcPr>
            <w:tcW w:w="1190" w:type="dxa"/>
            <w:vAlign w:val="center"/>
          </w:tcPr>
          <w:p w14:paraId="386B55D5">
            <w:pPr>
              <w:widowControl w:val="0"/>
              <w:autoSpaceDE w:val="0"/>
              <w:autoSpaceDN w:val="0"/>
              <w:spacing w:before="132" w:after="0" w:line="240" w:lineRule="auto"/>
              <w:ind w:left="127" w:leftChars="0" w:right="116" w:rightChars="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zh-CN" w:bidi="ar-SA"/>
              </w:rPr>
              <w:t>15</w:t>
            </w:r>
          </w:p>
        </w:tc>
        <w:tc>
          <w:tcPr>
            <w:tcW w:w="1173" w:type="dxa"/>
            <w:vAlign w:val="center"/>
          </w:tcPr>
          <w:p w14:paraId="78319380">
            <w:pPr>
              <w:widowControl w:val="0"/>
              <w:autoSpaceDE w:val="0"/>
              <w:autoSpaceDN w:val="0"/>
              <w:spacing w:before="132" w:after="0" w:line="240" w:lineRule="auto"/>
              <w:ind w:left="127" w:leftChars="0" w:right="116" w:rightChars="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zh-CN" w:bidi="ar-SA"/>
              </w:rPr>
              <w:t>20</w:t>
            </w:r>
          </w:p>
        </w:tc>
      </w:tr>
      <w:tr w14:paraId="43ABE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restart"/>
            <w:tcBorders>
              <w:top w:val="single" w:color="000000" w:sz="4" w:space="0"/>
              <w:bottom w:val="single" w:color="000000" w:sz="4" w:space="0"/>
            </w:tcBorders>
            <w:vAlign w:val="center"/>
          </w:tcPr>
          <w:p w14:paraId="4EDAD426">
            <w:pPr>
              <w:widowControl w:val="0"/>
              <w:autoSpaceDE w:val="0"/>
              <w:autoSpaceDN w:val="0"/>
              <w:spacing w:before="0" w:after="0" w:line="242" w:lineRule="auto"/>
              <w:ind w:left="122" w:right="113"/>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运输装备</w:t>
            </w:r>
          </w:p>
        </w:tc>
        <w:tc>
          <w:tcPr>
            <w:tcW w:w="4422" w:type="dxa"/>
            <w:vAlign w:val="center"/>
          </w:tcPr>
          <w:p w14:paraId="541FE829">
            <w:pPr>
              <w:widowControl w:val="0"/>
              <w:autoSpaceDE w:val="0"/>
              <w:autoSpaceDN w:val="0"/>
              <w:spacing w:before="118" w:after="0" w:line="240" w:lineRule="auto"/>
              <w:ind w:left="176" w:right="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新能源营运货车</w:t>
            </w:r>
            <w:r>
              <w:rPr>
                <w:rFonts w:hint="eastAsia" w:ascii="宋体" w:hAnsi="宋体" w:eastAsia="宋体" w:cs="宋体"/>
                <w:color w:val="auto"/>
                <w:sz w:val="24"/>
                <w:szCs w:val="24"/>
                <w:highlight w:val="none"/>
                <w:lang w:val="en-US" w:eastAsia="zh-CN" w:bidi="ar-SA"/>
              </w:rPr>
              <w:t>累计</w:t>
            </w:r>
            <w:r>
              <w:rPr>
                <w:rFonts w:hint="eastAsia" w:ascii="宋体" w:hAnsi="宋体" w:eastAsia="宋体" w:cs="宋体"/>
                <w:color w:val="auto"/>
                <w:sz w:val="24"/>
                <w:szCs w:val="24"/>
                <w:highlight w:val="none"/>
                <w:lang w:val="en-US" w:eastAsia="en-US" w:bidi="ar-SA"/>
              </w:rPr>
              <w:t>保有量（辆）</w:t>
            </w:r>
          </w:p>
        </w:tc>
        <w:tc>
          <w:tcPr>
            <w:tcW w:w="1141" w:type="dxa"/>
            <w:vAlign w:val="center"/>
          </w:tcPr>
          <w:p w14:paraId="5AD29EFA">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en-US" w:bidi="ar-SA"/>
              </w:rPr>
              <w:t>2</w:t>
            </w:r>
            <w:r>
              <w:rPr>
                <w:rFonts w:hint="eastAsia" w:ascii="宋体" w:hAnsi="宋体" w:eastAsia="宋体" w:cs="宋体"/>
                <w:color w:val="auto"/>
                <w:sz w:val="24"/>
                <w:szCs w:val="24"/>
                <w:highlight w:val="none"/>
                <w:lang w:val="en-US" w:eastAsia="zh-CN" w:bidi="ar-SA"/>
              </w:rPr>
              <w:t>900</w:t>
            </w:r>
          </w:p>
        </w:tc>
        <w:tc>
          <w:tcPr>
            <w:tcW w:w="1190" w:type="dxa"/>
            <w:vAlign w:val="center"/>
          </w:tcPr>
          <w:p w14:paraId="29C3961D">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en-US" w:bidi="ar-SA"/>
              </w:rPr>
              <w:t>3</w:t>
            </w:r>
            <w:r>
              <w:rPr>
                <w:rFonts w:hint="eastAsia" w:ascii="宋体" w:hAnsi="宋体" w:eastAsia="宋体" w:cs="宋体"/>
                <w:color w:val="auto"/>
                <w:sz w:val="24"/>
                <w:szCs w:val="24"/>
                <w:highlight w:val="none"/>
                <w:lang w:val="en-US" w:eastAsia="zh-CN" w:bidi="ar-SA"/>
              </w:rPr>
              <w:t>000</w:t>
            </w:r>
          </w:p>
        </w:tc>
        <w:tc>
          <w:tcPr>
            <w:tcW w:w="1173" w:type="dxa"/>
            <w:vAlign w:val="center"/>
          </w:tcPr>
          <w:p w14:paraId="4D1BCE40">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en-US" w:bidi="ar-SA"/>
              </w:rPr>
              <w:t>3</w:t>
            </w:r>
            <w:r>
              <w:rPr>
                <w:rFonts w:hint="eastAsia" w:ascii="宋体" w:hAnsi="宋体" w:eastAsia="宋体" w:cs="宋体"/>
                <w:color w:val="auto"/>
                <w:sz w:val="24"/>
                <w:szCs w:val="24"/>
                <w:highlight w:val="none"/>
                <w:lang w:val="en-US" w:eastAsia="zh-CN" w:bidi="ar-SA"/>
              </w:rPr>
              <w:t>100</w:t>
            </w:r>
          </w:p>
        </w:tc>
      </w:tr>
      <w:tr w14:paraId="12DEF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continue"/>
            <w:tcBorders>
              <w:top w:val="single" w:color="000000" w:sz="4" w:space="0"/>
              <w:bottom w:val="single" w:color="000000" w:sz="4" w:space="0"/>
            </w:tcBorders>
            <w:vAlign w:val="center"/>
          </w:tcPr>
          <w:p w14:paraId="62469C52">
            <w:pPr>
              <w:autoSpaceDE w:val="0"/>
              <w:autoSpaceDN w:val="0"/>
              <w:spacing w:before="0" w:after="0" w:line="240" w:lineRule="auto"/>
              <w:ind w:left="0" w:right="0"/>
              <w:jc w:val="center"/>
              <w:rPr>
                <w:rFonts w:hint="eastAsia" w:ascii="宋体" w:hAnsi="宋体" w:eastAsia="宋体" w:cs="宋体"/>
                <w:color w:val="auto"/>
                <w:kern w:val="0"/>
                <w:sz w:val="24"/>
                <w:szCs w:val="24"/>
                <w:lang w:eastAsia="en-US"/>
              </w:rPr>
            </w:pPr>
          </w:p>
        </w:tc>
        <w:tc>
          <w:tcPr>
            <w:tcW w:w="4422" w:type="dxa"/>
            <w:vAlign w:val="center"/>
          </w:tcPr>
          <w:p w14:paraId="48E385F9">
            <w:pPr>
              <w:widowControl w:val="0"/>
              <w:autoSpaceDE w:val="0"/>
              <w:autoSpaceDN w:val="0"/>
              <w:spacing w:before="117" w:after="0" w:line="240" w:lineRule="auto"/>
              <w:ind w:left="106" w:right="-29"/>
              <w:jc w:val="center"/>
              <w:rPr>
                <w:rFonts w:hint="eastAsia" w:ascii="宋体" w:hAnsi="宋体" w:eastAsia="宋体" w:cs="宋体"/>
                <w:color w:val="auto"/>
                <w:sz w:val="24"/>
                <w:szCs w:val="24"/>
                <w:lang w:val="en-US" w:eastAsia="en-US" w:bidi="ar-SA"/>
              </w:rPr>
            </w:pPr>
            <w:r>
              <w:rPr>
                <w:rFonts w:hint="eastAsia" w:ascii="宋体" w:hAnsi="宋体" w:eastAsia="宋体" w:cs="宋体"/>
                <w:color w:val="auto"/>
                <w:sz w:val="24"/>
                <w:szCs w:val="24"/>
                <w:lang w:val="en-US" w:eastAsia="en-US" w:bidi="ar-SA"/>
              </w:rPr>
              <w:t>国四排放标准营运货车</w:t>
            </w:r>
            <w:r>
              <w:rPr>
                <w:rFonts w:hint="eastAsia" w:ascii="宋体" w:hAnsi="宋体" w:eastAsia="宋体" w:cs="宋体"/>
                <w:color w:val="auto"/>
                <w:sz w:val="24"/>
                <w:szCs w:val="24"/>
                <w:lang w:val="en-US" w:eastAsia="zh-CN" w:bidi="ar-SA"/>
              </w:rPr>
              <w:t>年度</w:t>
            </w:r>
            <w:r>
              <w:rPr>
                <w:rFonts w:hint="eastAsia" w:ascii="宋体" w:hAnsi="宋体" w:eastAsia="宋体" w:cs="宋体"/>
                <w:color w:val="auto"/>
                <w:sz w:val="24"/>
                <w:szCs w:val="24"/>
                <w:lang w:val="en-US" w:eastAsia="en-US" w:bidi="ar-SA"/>
              </w:rPr>
              <w:t>淘汰量（辆）</w:t>
            </w:r>
          </w:p>
        </w:tc>
        <w:tc>
          <w:tcPr>
            <w:tcW w:w="1141" w:type="dxa"/>
            <w:vAlign w:val="center"/>
          </w:tcPr>
          <w:p w14:paraId="04D845A0">
            <w:pPr>
              <w:widowControl w:val="0"/>
              <w:autoSpaceDE w:val="0"/>
              <w:autoSpaceDN w:val="0"/>
              <w:spacing w:before="132" w:after="0" w:line="240" w:lineRule="auto"/>
              <w:ind w:left="127" w:right="116"/>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400</w:t>
            </w:r>
          </w:p>
        </w:tc>
        <w:tc>
          <w:tcPr>
            <w:tcW w:w="1190" w:type="dxa"/>
            <w:vAlign w:val="center"/>
          </w:tcPr>
          <w:p w14:paraId="43F37649">
            <w:pPr>
              <w:widowControl w:val="0"/>
              <w:autoSpaceDE w:val="0"/>
              <w:autoSpaceDN w:val="0"/>
              <w:spacing w:before="132" w:after="0" w:line="240" w:lineRule="auto"/>
              <w:ind w:left="127" w:right="116"/>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105</w:t>
            </w:r>
          </w:p>
        </w:tc>
        <w:tc>
          <w:tcPr>
            <w:tcW w:w="1173" w:type="dxa"/>
            <w:vAlign w:val="center"/>
          </w:tcPr>
          <w:p w14:paraId="164D1992">
            <w:pPr>
              <w:widowControl w:val="0"/>
              <w:autoSpaceDE w:val="0"/>
              <w:autoSpaceDN w:val="0"/>
              <w:spacing w:before="132" w:after="0" w:line="240" w:lineRule="auto"/>
              <w:ind w:left="127" w:right="116"/>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w:t>
            </w:r>
          </w:p>
        </w:tc>
      </w:tr>
      <w:tr w14:paraId="44AF2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jc w:val="center"/>
        </w:trPr>
        <w:tc>
          <w:tcPr>
            <w:tcW w:w="791" w:type="dxa"/>
            <w:vMerge w:val="continue"/>
            <w:tcBorders>
              <w:top w:val="single" w:color="000000" w:sz="4" w:space="0"/>
              <w:bottom w:val="single" w:color="000000" w:sz="4" w:space="0"/>
            </w:tcBorders>
            <w:vAlign w:val="center"/>
          </w:tcPr>
          <w:p w14:paraId="5C6D10EC">
            <w:pPr>
              <w:autoSpaceDE w:val="0"/>
              <w:autoSpaceDN w:val="0"/>
              <w:spacing w:before="0" w:after="0" w:line="240" w:lineRule="auto"/>
              <w:ind w:left="0" w:right="0"/>
              <w:jc w:val="center"/>
              <w:rPr>
                <w:rFonts w:hint="eastAsia" w:ascii="宋体" w:hAnsi="宋体" w:eastAsia="宋体" w:cs="宋体"/>
                <w:color w:val="auto"/>
                <w:kern w:val="0"/>
                <w:sz w:val="24"/>
                <w:szCs w:val="24"/>
                <w:lang w:eastAsia="en-US"/>
              </w:rPr>
            </w:pPr>
          </w:p>
        </w:tc>
        <w:tc>
          <w:tcPr>
            <w:tcW w:w="4422" w:type="dxa"/>
            <w:vAlign w:val="center"/>
          </w:tcPr>
          <w:p w14:paraId="2B84686A">
            <w:pPr>
              <w:widowControl w:val="0"/>
              <w:autoSpaceDE w:val="0"/>
              <w:autoSpaceDN w:val="0"/>
              <w:spacing w:before="118" w:after="0" w:line="240" w:lineRule="auto"/>
              <w:ind w:left="536" w:right="0"/>
              <w:jc w:val="center"/>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zh-CN" w:bidi="ar-SA"/>
              </w:rPr>
              <w:t>新能源</w:t>
            </w:r>
            <w:r>
              <w:rPr>
                <w:rFonts w:hint="eastAsia" w:ascii="宋体" w:hAnsi="宋体" w:eastAsia="宋体" w:cs="宋体"/>
                <w:color w:val="auto"/>
                <w:sz w:val="24"/>
                <w:szCs w:val="24"/>
                <w:highlight w:val="none"/>
                <w:lang w:val="en-US" w:eastAsia="en-US" w:bidi="ar-SA"/>
              </w:rPr>
              <w:t>重卡充换电站</w:t>
            </w:r>
            <w:r>
              <w:rPr>
                <w:rFonts w:hint="eastAsia" w:ascii="宋体" w:hAnsi="宋体" w:eastAsia="宋体" w:cs="宋体"/>
                <w:color w:val="auto"/>
                <w:sz w:val="24"/>
                <w:szCs w:val="24"/>
                <w:highlight w:val="none"/>
                <w:lang w:val="en-US" w:eastAsia="zh-CN" w:bidi="ar-SA"/>
              </w:rPr>
              <w:t>累计</w:t>
            </w:r>
            <w:r>
              <w:rPr>
                <w:rFonts w:hint="eastAsia" w:ascii="宋体" w:hAnsi="宋体" w:eastAsia="宋体" w:cs="宋体"/>
                <w:color w:val="auto"/>
                <w:sz w:val="24"/>
                <w:szCs w:val="24"/>
                <w:highlight w:val="none"/>
                <w:lang w:val="en-US" w:eastAsia="en-US" w:bidi="ar-SA"/>
              </w:rPr>
              <w:t>数量（座）</w:t>
            </w:r>
          </w:p>
        </w:tc>
        <w:tc>
          <w:tcPr>
            <w:tcW w:w="1141" w:type="dxa"/>
            <w:vAlign w:val="center"/>
          </w:tcPr>
          <w:p w14:paraId="0CBD6F8F">
            <w:pPr>
              <w:widowControl w:val="0"/>
              <w:autoSpaceDE w:val="0"/>
              <w:autoSpaceDN w:val="0"/>
              <w:spacing w:before="132" w:after="0" w:line="240" w:lineRule="auto"/>
              <w:ind w:left="127" w:right="116"/>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12</w:t>
            </w:r>
          </w:p>
        </w:tc>
        <w:tc>
          <w:tcPr>
            <w:tcW w:w="1190" w:type="dxa"/>
            <w:vAlign w:val="center"/>
          </w:tcPr>
          <w:p w14:paraId="6A14B8C4">
            <w:pPr>
              <w:widowControl w:val="0"/>
              <w:autoSpaceDE w:val="0"/>
              <w:autoSpaceDN w:val="0"/>
              <w:spacing w:before="132" w:after="0" w:line="240" w:lineRule="auto"/>
              <w:ind w:left="127" w:right="116"/>
              <w:jc w:val="center"/>
              <w:rPr>
                <w:rFonts w:hint="default" w:ascii="宋体" w:hAnsi="宋体" w:eastAsia="宋体" w:cs="宋体"/>
                <w:color w:val="auto"/>
                <w:sz w:val="24"/>
                <w:szCs w:val="24"/>
                <w:lang w:val="en-US" w:eastAsia="en-US" w:bidi="ar-SA"/>
              </w:rPr>
            </w:pPr>
            <w:r>
              <w:rPr>
                <w:rFonts w:hint="eastAsia" w:ascii="宋体" w:hAnsi="宋体" w:eastAsia="宋体" w:cs="宋体"/>
                <w:color w:val="auto"/>
                <w:sz w:val="24"/>
                <w:szCs w:val="24"/>
                <w:lang w:val="en-US" w:eastAsia="zh-CN" w:bidi="ar-SA"/>
              </w:rPr>
              <w:t>27</w:t>
            </w:r>
          </w:p>
        </w:tc>
        <w:tc>
          <w:tcPr>
            <w:tcW w:w="1173" w:type="dxa"/>
            <w:vAlign w:val="center"/>
          </w:tcPr>
          <w:p w14:paraId="79598A3A">
            <w:pPr>
              <w:widowControl w:val="0"/>
              <w:autoSpaceDE w:val="0"/>
              <w:autoSpaceDN w:val="0"/>
              <w:spacing w:before="132" w:after="0" w:line="240" w:lineRule="auto"/>
              <w:ind w:left="127" w:right="116"/>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50</w:t>
            </w:r>
          </w:p>
        </w:tc>
      </w:tr>
    </w:tbl>
    <w:p w14:paraId="49CAC4D6">
      <w:pPr>
        <w:pStyle w:val="2"/>
        <w:rPr>
          <w:rFonts w:hint="eastAsia"/>
          <w:lang w:val="en-US" w:eastAsia="en-US"/>
        </w:rPr>
      </w:pPr>
    </w:p>
    <w:p w14:paraId="5047038C">
      <w:pPr>
        <w:keepNext w:val="0"/>
        <w:keepLines w:val="0"/>
        <w:pageBreakBefore w:val="0"/>
        <w:widowControl w:val="0"/>
        <w:kinsoku/>
        <w:wordWrap/>
        <w:overflowPunct/>
        <w:topLinePunct w:val="0"/>
        <w:autoSpaceDE w:val="0"/>
        <w:autoSpaceDN w:val="0"/>
        <w:bidi w:val="0"/>
        <w:adjustRightInd/>
        <w:snapToGrid/>
        <w:spacing w:before="0" w:after="0" w:line="580" w:lineRule="exact"/>
        <w:ind w:left="862" w:right="0"/>
        <w:jc w:val="left"/>
        <w:textAlignment w:val="auto"/>
        <w:outlineLvl w:val="1"/>
        <w:rPr>
          <w:rFonts w:hint="eastAsia" w:ascii="黑体" w:hAnsi="仿宋" w:eastAsia="黑体" w:cs="仿宋"/>
          <w:color w:val="auto"/>
          <w:sz w:val="32"/>
          <w:szCs w:val="32"/>
          <w:lang w:val="en-US" w:eastAsia="en-US" w:bidi="ar-SA"/>
        </w:rPr>
      </w:pPr>
      <w:bookmarkStart w:id="1" w:name="二、重点任务"/>
      <w:bookmarkEnd w:id="1"/>
      <w:r>
        <w:rPr>
          <w:rFonts w:hint="eastAsia" w:ascii="黑体" w:hAnsi="仿宋" w:eastAsia="黑体" w:cs="仿宋"/>
          <w:color w:val="auto"/>
          <w:sz w:val="32"/>
          <w:szCs w:val="32"/>
          <w:lang w:val="en-US" w:eastAsia="en-US" w:bidi="ar-SA"/>
        </w:rPr>
        <w:t>二、重点任务</w:t>
      </w:r>
    </w:p>
    <w:p w14:paraId="3EBC3F3A">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0" w:firstLineChars="200"/>
        <w:jc w:val="left"/>
        <w:textAlignment w:val="auto"/>
        <w:outlineLvl w:val="2"/>
        <w:rPr>
          <w:rFonts w:hint="eastAsia" w:ascii="楷体" w:hAnsi="楷体" w:eastAsia="楷体" w:cs="仿宋"/>
          <w:color w:val="auto"/>
          <w:sz w:val="32"/>
          <w:szCs w:val="32"/>
          <w:lang w:val="en-US" w:eastAsia="zh-CN" w:bidi="ar-SA"/>
        </w:rPr>
      </w:pPr>
      <w:bookmarkStart w:id="2" w:name="（二）加快推进“公转铁”"/>
      <w:bookmarkEnd w:id="2"/>
      <w:bookmarkStart w:id="3" w:name="（一）加快推进“公转水”"/>
      <w:bookmarkEnd w:id="3"/>
      <w:r>
        <w:rPr>
          <w:rFonts w:hint="eastAsia" w:ascii="楷体" w:hAnsi="楷体" w:eastAsia="楷体" w:cs="仿宋"/>
          <w:color w:val="auto"/>
          <w:sz w:val="32"/>
          <w:szCs w:val="32"/>
          <w:lang w:val="en-US" w:eastAsia="en-US" w:bidi="ar-SA"/>
        </w:rPr>
        <w:t>（</w:t>
      </w:r>
      <w:r>
        <w:rPr>
          <w:rFonts w:hint="eastAsia" w:ascii="楷体" w:hAnsi="楷体" w:eastAsia="楷体" w:cs="仿宋"/>
          <w:color w:val="auto"/>
          <w:sz w:val="32"/>
          <w:szCs w:val="32"/>
          <w:lang w:val="en-US" w:eastAsia="zh-CN" w:bidi="ar-SA"/>
        </w:rPr>
        <w:t>一</w:t>
      </w:r>
      <w:r>
        <w:rPr>
          <w:rFonts w:hint="eastAsia" w:ascii="楷体" w:hAnsi="楷体" w:eastAsia="楷体" w:cs="仿宋"/>
          <w:color w:val="auto"/>
          <w:sz w:val="32"/>
          <w:szCs w:val="32"/>
          <w:lang w:val="en-US" w:eastAsia="en-US" w:bidi="ar-SA"/>
        </w:rPr>
        <w:t>）加快推进“公转铁”</w:t>
      </w:r>
      <w:r>
        <w:rPr>
          <w:rFonts w:hint="eastAsia" w:ascii="楷体" w:hAnsi="楷体" w:eastAsia="楷体" w:cs="仿宋"/>
          <w:color w:val="auto"/>
          <w:sz w:val="32"/>
          <w:szCs w:val="32"/>
          <w:lang w:val="en-US" w:eastAsia="zh-CN" w:bidi="ar-SA"/>
        </w:rPr>
        <w:t>。</w:t>
      </w:r>
    </w:p>
    <w:p w14:paraId="2000D596">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zh-CN" w:bidi="ar-SA"/>
        </w:rPr>
      </w:pPr>
      <w:r>
        <w:rPr>
          <w:rFonts w:hint="eastAsia" w:ascii="仿宋_GB2312" w:hAnsi="仿宋_GB2312" w:eastAsia="仿宋_GB2312" w:cs="仿宋_GB2312"/>
          <w:color w:val="auto"/>
          <w:spacing w:val="1"/>
          <w:kern w:val="2"/>
          <w:sz w:val="32"/>
          <w:szCs w:val="32"/>
          <w:lang w:val="en-US" w:eastAsia="zh-CN" w:bidi="ar-SA"/>
        </w:rPr>
        <w:t>1.持续推进铁路专用线入企、入园，协调推进河南晋开集团延化化工有限公司专用铁路建设，支持国家新乡经济技术开发区专用铁路等有需求的铁路专用线实施扩能改造。大宗货物中长距离运输优先采用铁路运输，短距离运输优先采用封闭式皮带廊道或新能源车辆。</w:t>
      </w:r>
      <w:r>
        <w:rPr>
          <w:rFonts w:hint="eastAsia" w:ascii="仿宋_GB2312" w:hAnsi="仿宋_GB2312" w:eastAsia="仿宋_GB2312" w:cs="仿宋_GB2312"/>
          <w:color w:val="auto"/>
          <w:spacing w:val="1"/>
          <w:kern w:val="2"/>
          <w:sz w:val="32"/>
          <w:szCs w:val="32"/>
          <w:lang w:val="en-US" w:eastAsia="en-US" w:bidi="ar-SA"/>
        </w:rPr>
        <w:t>释放既有铁路运能，</w:t>
      </w:r>
      <w:r>
        <w:rPr>
          <w:rFonts w:hint="eastAsia" w:ascii="仿宋_GB2312" w:hAnsi="仿宋_GB2312" w:eastAsia="仿宋_GB2312" w:cs="仿宋_GB2312"/>
          <w:color w:val="auto"/>
          <w:spacing w:val="1"/>
          <w:kern w:val="2"/>
          <w:sz w:val="32"/>
          <w:szCs w:val="32"/>
          <w:lang w:val="en-US" w:eastAsia="zh-CN" w:bidi="ar-SA"/>
        </w:rPr>
        <w:t>鼓励各县（市、区）探索发展“一单制、一箱制”发展模式，探索应用标准化多式联运电子运单，</w:t>
      </w:r>
      <w:r>
        <w:rPr>
          <w:rFonts w:hint="eastAsia" w:ascii="仿宋_GB2312" w:hAnsi="仿宋_GB2312" w:eastAsia="仿宋_GB2312" w:cs="仿宋_GB2312"/>
          <w:color w:val="auto"/>
          <w:spacing w:val="1"/>
          <w:kern w:val="2"/>
          <w:sz w:val="32"/>
          <w:szCs w:val="32"/>
          <w:lang w:val="en-US" w:eastAsia="en-US" w:bidi="ar-SA"/>
        </w:rPr>
        <w:t>加大</w:t>
      </w:r>
      <w:r>
        <w:rPr>
          <w:rFonts w:hint="eastAsia" w:ascii="仿宋_GB2312" w:hAnsi="仿宋_GB2312" w:eastAsia="仿宋_GB2312" w:cs="仿宋_GB2312"/>
          <w:color w:val="auto"/>
          <w:spacing w:val="1"/>
          <w:kern w:val="2"/>
          <w:sz w:val="32"/>
          <w:szCs w:val="32"/>
          <w:lang w:val="en-US" w:eastAsia="zh-CN" w:bidi="ar-SA"/>
        </w:rPr>
        <w:t>新菏</w:t>
      </w:r>
      <w:r>
        <w:rPr>
          <w:rFonts w:hint="eastAsia" w:ascii="仿宋_GB2312" w:hAnsi="仿宋_GB2312" w:eastAsia="仿宋_GB2312" w:cs="仿宋_GB2312"/>
          <w:color w:val="auto"/>
          <w:spacing w:val="1"/>
          <w:kern w:val="2"/>
          <w:sz w:val="32"/>
          <w:szCs w:val="32"/>
          <w:lang w:val="en-US" w:eastAsia="en-US" w:bidi="ar-SA"/>
        </w:rPr>
        <w:t>铁路</w:t>
      </w:r>
      <w:r>
        <w:rPr>
          <w:rFonts w:hint="eastAsia" w:ascii="仿宋_GB2312" w:hAnsi="仿宋_GB2312" w:eastAsia="仿宋_GB2312" w:cs="仿宋_GB2312"/>
          <w:color w:val="auto"/>
          <w:spacing w:val="1"/>
          <w:kern w:val="2"/>
          <w:sz w:val="32"/>
          <w:szCs w:val="32"/>
          <w:lang w:val="en-US" w:eastAsia="zh-CN" w:bidi="ar-SA"/>
        </w:rPr>
        <w:t>、京广铁路</w:t>
      </w:r>
      <w:r>
        <w:rPr>
          <w:rFonts w:hint="eastAsia" w:ascii="仿宋_GB2312" w:hAnsi="仿宋_GB2312" w:eastAsia="仿宋_GB2312" w:cs="仿宋_GB2312"/>
          <w:color w:val="auto"/>
          <w:spacing w:val="1"/>
          <w:kern w:val="2"/>
          <w:sz w:val="32"/>
          <w:szCs w:val="32"/>
          <w:lang w:val="en-US" w:eastAsia="en-US" w:bidi="ar-SA"/>
        </w:rPr>
        <w:t>沿线货源组织力度</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提高线路利用效率。（责任单位：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发展改革委、交通运输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郑州铁路物流中心</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各县〔市、区〕政府和高新区、经开区、平原示范区管委会。以下均需各县〔市、区〕政府和高新区、经开区、平原示范区管委会落实，不再列出</w:t>
      </w:r>
      <w:r>
        <w:rPr>
          <w:rFonts w:hint="eastAsia" w:ascii="仿宋_GB2312" w:hAnsi="仿宋_GB2312" w:eastAsia="仿宋_GB2312" w:cs="仿宋_GB2312"/>
          <w:color w:val="auto"/>
          <w:spacing w:val="1"/>
          <w:kern w:val="2"/>
          <w:sz w:val="32"/>
          <w:szCs w:val="32"/>
          <w:lang w:val="en-US" w:eastAsia="en-US" w:bidi="ar-SA"/>
        </w:rPr>
        <w:t>）</w:t>
      </w:r>
    </w:p>
    <w:p w14:paraId="53CF624E">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2.</w:t>
      </w:r>
      <w:r>
        <w:rPr>
          <w:rFonts w:hint="eastAsia" w:ascii="仿宋_GB2312" w:hAnsi="仿宋_GB2312" w:eastAsia="仿宋_GB2312" w:cs="仿宋_GB2312"/>
          <w:color w:val="auto"/>
          <w:spacing w:val="1"/>
          <w:kern w:val="2"/>
          <w:sz w:val="32"/>
          <w:szCs w:val="32"/>
          <w:lang w:val="en-US" w:eastAsia="en-US" w:bidi="ar-SA"/>
        </w:rPr>
        <w:t>新建</w:t>
      </w:r>
      <w:r>
        <w:rPr>
          <w:rFonts w:hint="eastAsia" w:ascii="仿宋_GB2312" w:hAnsi="仿宋_GB2312" w:eastAsia="仿宋_GB2312" w:cs="仿宋_GB2312"/>
          <w:color w:val="auto"/>
          <w:spacing w:val="1"/>
          <w:kern w:val="2"/>
          <w:sz w:val="32"/>
          <w:szCs w:val="32"/>
          <w:lang w:val="en-US" w:eastAsia="zh-CN" w:bidi="ar-SA"/>
        </w:rPr>
        <w:t>或</w:t>
      </w:r>
      <w:r>
        <w:rPr>
          <w:rFonts w:hint="eastAsia" w:ascii="仿宋_GB2312" w:hAnsi="仿宋_GB2312" w:eastAsia="仿宋_GB2312" w:cs="仿宋_GB2312"/>
          <w:color w:val="auto"/>
          <w:spacing w:val="1"/>
          <w:kern w:val="2"/>
          <w:sz w:val="32"/>
          <w:szCs w:val="32"/>
          <w:lang w:val="en-US" w:eastAsia="en-US" w:bidi="ar-SA"/>
        </w:rPr>
        <w:t>迁建大宗货物年运量150万吨以上的物流园区、产业园区、工矿企业、粮食储备库等，原则上</w:t>
      </w:r>
      <w:r>
        <w:rPr>
          <w:rFonts w:hint="eastAsia" w:ascii="仿宋_GB2312" w:hAnsi="仿宋_GB2312" w:eastAsia="仿宋_GB2312" w:cs="仿宋_GB2312"/>
          <w:color w:val="auto"/>
          <w:spacing w:val="1"/>
          <w:kern w:val="2"/>
          <w:sz w:val="32"/>
          <w:szCs w:val="32"/>
          <w:lang w:val="en-US" w:eastAsia="zh-CN" w:bidi="ar-SA"/>
        </w:rPr>
        <w:t>要</w:t>
      </w:r>
      <w:r>
        <w:rPr>
          <w:rFonts w:hint="eastAsia" w:ascii="仿宋_GB2312" w:hAnsi="仿宋_GB2312" w:eastAsia="仿宋_GB2312" w:cs="仿宋_GB2312"/>
          <w:color w:val="auto"/>
          <w:spacing w:val="1"/>
          <w:kern w:val="2"/>
          <w:sz w:val="32"/>
          <w:szCs w:val="32"/>
          <w:lang w:val="en-US" w:eastAsia="en-US" w:bidi="ar-SA"/>
        </w:rPr>
        <w:t>接入铁路专用线。</w:t>
      </w:r>
      <w:r>
        <w:rPr>
          <w:rFonts w:hint="eastAsia" w:ascii="仿宋_GB2312" w:hAnsi="仿宋_GB2312" w:eastAsia="仿宋_GB2312" w:cs="仿宋_GB2312"/>
          <w:color w:val="auto"/>
          <w:spacing w:val="1"/>
          <w:kern w:val="2"/>
          <w:sz w:val="32"/>
          <w:szCs w:val="32"/>
          <w:lang w:val="en-US" w:eastAsia="zh-CN" w:bidi="ar-SA"/>
        </w:rPr>
        <w:t>严格管控大型工矿企业、物流园区重型柴油货车长距离运输。</w:t>
      </w:r>
      <w:r>
        <w:rPr>
          <w:rFonts w:hint="eastAsia" w:ascii="仿宋_GB2312" w:hAnsi="仿宋_GB2312" w:eastAsia="仿宋_GB2312" w:cs="仿宋_GB2312"/>
          <w:color w:val="auto"/>
          <w:spacing w:val="1"/>
          <w:kern w:val="2"/>
          <w:sz w:val="32"/>
          <w:szCs w:val="32"/>
          <w:lang w:val="en-US" w:eastAsia="en-US" w:bidi="ar-SA"/>
        </w:rPr>
        <w:t>支持相关企业通过产权转让或股权合作等方式对停运铁路专用线进行维修改造，充分挖掘潜能，向周边工矿企业和物流园区开放，实现资源共享。（责任单位：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发展改革委、交通运输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，郑州铁路物流中心）</w:t>
      </w:r>
    </w:p>
    <w:p w14:paraId="71FF1C96">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zh-CN" w:bidi="ar-SA"/>
        </w:rPr>
      </w:pPr>
      <w:r>
        <w:rPr>
          <w:rFonts w:hint="eastAsia" w:ascii="仿宋_GB2312" w:hAnsi="仿宋_GB2312" w:eastAsia="仿宋_GB2312" w:cs="仿宋_GB2312"/>
          <w:color w:val="auto"/>
          <w:spacing w:val="1"/>
          <w:kern w:val="2"/>
          <w:sz w:val="32"/>
          <w:szCs w:val="32"/>
          <w:lang w:val="en-US" w:eastAsia="zh-CN" w:bidi="ar-SA"/>
        </w:rPr>
        <w:t>3.</w:t>
      </w:r>
      <w:r>
        <w:rPr>
          <w:rFonts w:hint="eastAsia" w:ascii="仿宋_GB2312" w:hAnsi="仿宋_GB2312" w:eastAsia="仿宋_GB2312" w:cs="仿宋_GB2312"/>
          <w:color w:val="auto"/>
          <w:spacing w:val="1"/>
          <w:kern w:val="2"/>
          <w:sz w:val="32"/>
          <w:szCs w:val="32"/>
          <w:lang w:val="en-US" w:eastAsia="en-US" w:bidi="ar-SA"/>
        </w:rPr>
        <w:t>支持企业合作组建运营公司，</w:t>
      </w:r>
      <w:r>
        <w:rPr>
          <w:rFonts w:hint="eastAsia" w:ascii="仿宋_GB2312" w:hAnsi="仿宋_GB2312" w:eastAsia="仿宋_GB2312" w:cs="仿宋_GB2312"/>
          <w:color w:val="auto"/>
          <w:spacing w:val="1"/>
          <w:kern w:val="2"/>
          <w:sz w:val="32"/>
          <w:szCs w:val="32"/>
          <w:lang w:val="en-US" w:eastAsia="zh-CN" w:bidi="ar-SA"/>
        </w:rPr>
        <w:t>围绕</w:t>
      </w:r>
      <w:r>
        <w:rPr>
          <w:rFonts w:hint="eastAsia" w:ascii="仿宋_GB2312" w:hAnsi="仿宋_GB2312" w:eastAsia="仿宋_GB2312" w:cs="仿宋_GB2312"/>
          <w:color w:val="auto"/>
          <w:spacing w:val="1"/>
          <w:kern w:val="2"/>
          <w:sz w:val="32"/>
          <w:szCs w:val="32"/>
          <w:lang w:val="en-US" w:eastAsia="en-US" w:bidi="ar-SA"/>
        </w:rPr>
        <w:t>具有运量保障的物流园区积极开展公铁水联运业务，探索推</w:t>
      </w:r>
      <w:r>
        <w:rPr>
          <w:rFonts w:hint="eastAsia" w:ascii="仿宋_GB2312" w:hAnsi="仿宋_GB2312" w:eastAsia="仿宋_GB2312" w:cs="仿宋_GB2312"/>
          <w:color w:val="auto"/>
          <w:spacing w:val="1"/>
          <w:kern w:val="2"/>
          <w:sz w:val="32"/>
          <w:szCs w:val="32"/>
          <w:lang w:val="en-US" w:eastAsia="zh-CN" w:bidi="ar-SA"/>
        </w:rPr>
        <w:t>行</w:t>
      </w:r>
      <w:r>
        <w:rPr>
          <w:rFonts w:hint="eastAsia" w:ascii="仿宋_GB2312" w:hAnsi="仿宋_GB2312" w:eastAsia="仿宋_GB2312" w:cs="仿宋_GB2312"/>
          <w:color w:val="auto"/>
          <w:spacing w:val="1"/>
          <w:kern w:val="2"/>
          <w:sz w:val="32"/>
          <w:szCs w:val="32"/>
          <w:lang w:val="en-US" w:eastAsia="en-US" w:bidi="ar-SA"/>
        </w:rPr>
        <w:t>“货运枢纽+集疏运体系”投资</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建设</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运营一体化模式。鼓励工矿企业等用车单位通过与运输企业（个人）签订合作协议等方式实现清洁运输。（责任单位：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、发展改革委，</w:t>
      </w:r>
      <w:r>
        <w:rPr>
          <w:rFonts w:hint="eastAsia" w:ascii="仿宋_GB2312" w:hAnsi="仿宋_GB2312" w:eastAsia="仿宋_GB2312" w:cs="仿宋_GB2312"/>
          <w:color w:val="auto"/>
          <w:spacing w:val="1"/>
          <w:kern w:val="2"/>
          <w:sz w:val="32"/>
          <w:szCs w:val="32"/>
          <w:lang w:val="en-US" w:eastAsia="zh-CN" w:bidi="ar-SA"/>
        </w:rPr>
        <w:t>郑州铁路物流中心</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 xml:space="preserve"> </w:t>
      </w:r>
    </w:p>
    <w:p w14:paraId="2600690E">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0" w:firstLineChars="200"/>
        <w:jc w:val="left"/>
        <w:textAlignment w:val="auto"/>
        <w:outlineLvl w:val="2"/>
        <w:rPr>
          <w:rFonts w:hint="eastAsia" w:ascii="楷体" w:hAnsi="楷体" w:eastAsia="楷体" w:cs="仿宋"/>
          <w:color w:val="auto"/>
          <w:sz w:val="32"/>
          <w:szCs w:val="32"/>
          <w:lang w:val="en-US" w:eastAsia="zh-CN" w:bidi="ar-SA"/>
        </w:rPr>
      </w:pPr>
      <w:r>
        <w:rPr>
          <w:rFonts w:hint="eastAsia" w:ascii="楷体" w:hAnsi="楷体" w:eastAsia="楷体" w:cs="仿宋"/>
          <w:color w:val="auto"/>
          <w:sz w:val="32"/>
          <w:szCs w:val="32"/>
          <w:lang w:val="en-US" w:eastAsia="en-US" w:bidi="ar-SA"/>
        </w:rPr>
        <w:t>（</w:t>
      </w:r>
      <w:bookmarkStart w:id="4" w:name="（三）大力发展多式联运"/>
      <w:bookmarkEnd w:id="4"/>
      <w:r>
        <w:rPr>
          <w:rFonts w:hint="eastAsia" w:ascii="楷体" w:hAnsi="楷体" w:eastAsia="楷体" w:cs="仿宋"/>
          <w:color w:val="auto"/>
          <w:sz w:val="32"/>
          <w:szCs w:val="32"/>
          <w:lang w:val="en-US" w:eastAsia="zh-CN" w:bidi="ar-SA"/>
        </w:rPr>
        <w:t>二</w:t>
      </w:r>
      <w:r>
        <w:rPr>
          <w:rFonts w:hint="eastAsia" w:ascii="楷体" w:hAnsi="楷体" w:eastAsia="楷体" w:cs="仿宋"/>
          <w:color w:val="auto"/>
          <w:sz w:val="32"/>
          <w:szCs w:val="32"/>
          <w:lang w:val="en-US" w:eastAsia="en-US" w:bidi="ar-SA"/>
        </w:rPr>
        <w:t>）大力发展多式联运</w:t>
      </w:r>
      <w:r>
        <w:rPr>
          <w:rFonts w:hint="eastAsia" w:ascii="楷体" w:hAnsi="楷体" w:eastAsia="楷体" w:cs="仿宋"/>
          <w:color w:val="auto"/>
          <w:sz w:val="32"/>
          <w:szCs w:val="32"/>
          <w:lang w:val="en-US" w:eastAsia="zh-CN" w:bidi="ar-SA"/>
        </w:rPr>
        <w:t>。</w:t>
      </w:r>
    </w:p>
    <w:p w14:paraId="7B594C2D">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default" w:ascii="Times New Roman" w:hAnsi="Times New Roman" w:eastAsia="仿宋_GB2312" w:cs="Times New Roman"/>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1.</w:t>
      </w:r>
      <w:r>
        <w:rPr>
          <w:rFonts w:hint="eastAsia" w:ascii="仿宋_GB2312" w:hAnsi="仿宋_GB2312" w:eastAsia="仿宋_GB2312" w:cs="仿宋_GB2312"/>
          <w:color w:val="auto"/>
          <w:spacing w:val="1"/>
          <w:kern w:val="2"/>
          <w:sz w:val="32"/>
          <w:szCs w:val="32"/>
          <w:lang w:val="en-US" w:eastAsia="en-US" w:bidi="ar-SA"/>
        </w:rPr>
        <w:t>依托京港澳综合运输通道、北沿黄综合运输通道，全面提升国际国内货运衔接能力。打造豫鲁内陆便捷出海通道，推动</w:t>
      </w:r>
      <w:r>
        <w:rPr>
          <w:rFonts w:hint="eastAsia" w:ascii="仿宋_GB2312" w:hAnsi="仿宋_GB2312" w:eastAsia="仿宋_GB2312" w:cs="仿宋_GB2312"/>
          <w:color w:val="auto"/>
          <w:spacing w:val="1"/>
          <w:kern w:val="2"/>
          <w:sz w:val="32"/>
          <w:szCs w:val="32"/>
          <w:lang w:val="en-US" w:eastAsia="zh-CN" w:bidi="ar-SA"/>
        </w:rPr>
        <w:t>经开区</w:t>
      </w:r>
      <w:r>
        <w:rPr>
          <w:rFonts w:hint="eastAsia" w:ascii="仿宋_GB2312" w:hAnsi="仿宋_GB2312" w:eastAsia="仿宋_GB2312" w:cs="仿宋_GB2312"/>
          <w:color w:val="auto"/>
          <w:spacing w:val="1"/>
          <w:kern w:val="2"/>
          <w:sz w:val="32"/>
          <w:szCs w:val="32"/>
          <w:lang w:val="en-US" w:eastAsia="en-US" w:bidi="ar-SA"/>
        </w:rPr>
        <w:t>至山东沿海港口班列常态化开行。积极推动中欧班列（中豫号·新乡）进一步拓展欧洲、中亚、东南亚线路，提升运营网络覆盖范围。支持河南现代公铁物流有限公司、中铝物流集团中州有限公司、河南心连心</w:t>
      </w:r>
      <w:r>
        <w:rPr>
          <w:rFonts w:hint="default" w:ascii="Times New Roman" w:hAnsi="Times New Roman" w:eastAsia="仿宋_GB2312" w:cs="Times New Roman"/>
          <w:color w:val="auto"/>
          <w:spacing w:val="1"/>
          <w:kern w:val="2"/>
          <w:sz w:val="32"/>
          <w:szCs w:val="32"/>
          <w:lang w:val="en-US" w:eastAsia="en-US" w:bidi="ar-SA"/>
        </w:rPr>
        <w:t>化学工业集团股份有限公司、华电新乡发电有限公司、新乡白鹭化纤集团等大中型运输、工矿企业依托干线铁路网、高速公路网，全面打通辐射山东、湖北、山西等地的货运物流通道。</w:t>
      </w:r>
      <w:r>
        <w:rPr>
          <w:rFonts w:hint="default" w:ascii="Times New Roman" w:hAnsi="Times New Roman" w:eastAsia="仿宋_GB2312" w:cs="Times New Roman"/>
          <w:color w:val="auto"/>
          <w:spacing w:val="1"/>
          <w:kern w:val="2"/>
          <w:sz w:val="32"/>
          <w:szCs w:val="32"/>
          <w:lang w:val="en-US" w:eastAsia="zh-CN" w:bidi="ar-SA"/>
        </w:rPr>
        <w:t>到</w:t>
      </w:r>
      <w:r>
        <w:rPr>
          <w:rFonts w:hint="default" w:ascii="Times New Roman" w:hAnsi="Times New Roman" w:eastAsia="仿宋_GB2312" w:cs="Times New Roman"/>
          <w:color w:val="auto"/>
          <w:spacing w:val="1"/>
          <w:kern w:val="2"/>
          <w:sz w:val="32"/>
          <w:szCs w:val="32"/>
          <w:lang w:val="en-US" w:eastAsia="en-US" w:bidi="ar-SA"/>
        </w:rPr>
        <w:t>2028年打造铁海联运线路</w:t>
      </w:r>
      <w:r>
        <w:rPr>
          <w:rFonts w:hint="default" w:ascii="Times New Roman" w:hAnsi="Times New Roman" w:eastAsia="仿宋_GB2312" w:cs="Times New Roman"/>
          <w:color w:val="auto"/>
          <w:spacing w:val="1"/>
          <w:kern w:val="2"/>
          <w:sz w:val="32"/>
          <w:szCs w:val="32"/>
          <w:lang w:val="en-US" w:eastAsia="zh-CN" w:bidi="ar-SA"/>
        </w:rPr>
        <w:t>1</w:t>
      </w:r>
      <w:r>
        <w:rPr>
          <w:rFonts w:hint="default" w:ascii="Times New Roman" w:hAnsi="Times New Roman" w:eastAsia="仿宋_GB2312" w:cs="Times New Roman"/>
          <w:color w:val="auto"/>
          <w:spacing w:val="1"/>
          <w:kern w:val="2"/>
          <w:sz w:val="32"/>
          <w:szCs w:val="32"/>
          <w:lang w:val="en-US" w:eastAsia="en-US" w:bidi="ar-SA"/>
        </w:rPr>
        <w:t>条以上，联运量达到</w:t>
      </w:r>
      <w:r>
        <w:rPr>
          <w:rFonts w:hint="default" w:ascii="Times New Roman" w:hAnsi="Times New Roman" w:eastAsia="仿宋_GB2312" w:cs="Times New Roman"/>
          <w:color w:val="auto"/>
          <w:spacing w:val="1"/>
          <w:kern w:val="2"/>
          <w:sz w:val="32"/>
          <w:szCs w:val="32"/>
          <w:lang w:val="en-US" w:eastAsia="zh-CN" w:bidi="ar-SA"/>
        </w:rPr>
        <w:t>5000</w:t>
      </w:r>
      <w:r>
        <w:rPr>
          <w:rFonts w:hint="default" w:ascii="Times New Roman" w:hAnsi="Times New Roman" w:eastAsia="仿宋_GB2312" w:cs="Times New Roman"/>
          <w:color w:val="auto"/>
          <w:spacing w:val="1"/>
          <w:kern w:val="2"/>
          <w:sz w:val="32"/>
          <w:szCs w:val="32"/>
          <w:lang w:val="en-US" w:eastAsia="en-US" w:bidi="ar-SA"/>
        </w:rPr>
        <w:t>标箱</w:t>
      </w:r>
      <w:r>
        <w:rPr>
          <w:rFonts w:hint="default" w:ascii="Times New Roman" w:hAnsi="Times New Roman" w:eastAsia="仿宋_GB2312" w:cs="Times New Roman"/>
          <w:color w:val="auto"/>
          <w:spacing w:val="1"/>
          <w:kern w:val="2"/>
          <w:sz w:val="32"/>
          <w:szCs w:val="32"/>
          <w:lang w:val="en-US" w:eastAsia="zh-CN" w:bidi="ar-SA"/>
        </w:rPr>
        <w:t>以上</w:t>
      </w:r>
      <w:r>
        <w:rPr>
          <w:rFonts w:hint="default" w:ascii="Times New Roman" w:hAnsi="Times New Roman" w:eastAsia="仿宋_GB2312" w:cs="Times New Roman"/>
          <w:color w:val="auto"/>
          <w:spacing w:val="1"/>
          <w:kern w:val="2"/>
          <w:sz w:val="32"/>
          <w:szCs w:val="32"/>
          <w:lang w:val="en-US" w:eastAsia="en-US" w:bidi="ar-SA"/>
        </w:rPr>
        <w:t>。（责任单位：</w:t>
      </w:r>
      <w:r>
        <w:rPr>
          <w:rFonts w:hint="default" w:ascii="Times New Roman" w:hAnsi="Times New Roman" w:eastAsia="仿宋_GB2312" w:cs="Times New Roman"/>
          <w:color w:val="auto"/>
          <w:spacing w:val="1"/>
          <w:kern w:val="2"/>
          <w:sz w:val="32"/>
          <w:szCs w:val="32"/>
          <w:lang w:val="en-US" w:eastAsia="zh-CN" w:bidi="ar-SA"/>
        </w:rPr>
        <w:t>市</w:t>
      </w:r>
      <w:r>
        <w:rPr>
          <w:rFonts w:hint="default" w:ascii="Times New Roman" w:hAnsi="Times New Roman" w:eastAsia="仿宋_GB2312" w:cs="Times New Roman"/>
          <w:color w:val="auto"/>
          <w:spacing w:val="1"/>
          <w:kern w:val="2"/>
          <w:sz w:val="32"/>
          <w:szCs w:val="32"/>
          <w:lang w:val="en-US" w:eastAsia="en-US" w:bidi="ar-SA"/>
        </w:rPr>
        <w:t>交通运输</w:t>
      </w:r>
      <w:r>
        <w:rPr>
          <w:rFonts w:hint="default" w:ascii="Times New Roman" w:hAnsi="Times New Roman" w:eastAsia="仿宋_GB2312" w:cs="Times New Roman"/>
          <w:color w:val="auto"/>
          <w:spacing w:val="1"/>
          <w:kern w:val="2"/>
          <w:sz w:val="32"/>
          <w:szCs w:val="32"/>
          <w:lang w:val="en-US" w:eastAsia="zh-CN" w:bidi="ar-SA"/>
        </w:rPr>
        <w:t>局</w:t>
      </w:r>
      <w:r>
        <w:rPr>
          <w:rFonts w:hint="default" w:ascii="Times New Roman" w:hAnsi="Times New Roman" w:eastAsia="仿宋_GB2312" w:cs="Times New Roman"/>
          <w:color w:val="auto"/>
          <w:spacing w:val="1"/>
          <w:kern w:val="2"/>
          <w:sz w:val="32"/>
          <w:szCs w:val="32"/>
          <w:lang w:val="en-US" w:eastAsia="en-US" w:bidi="ar-SA"/>
        </w:rPr>
        <w:t>、发展改革委</w:t>
      </w:r>
      <w:r>
        <w:rPr>
          <w:rFonts w:hint="default" w:ascii="Times New Roman" w:hAnsi="Times New Roman" w:eastAsia="仿宋_GB2312" w:cs="Times New Roman"/>
          <w:color w:val="auto"/>
          <w:spacing w:val="1"/>
          <w:kern w:val="2"/>
          <w:sz w:val="32"/>
          <w:szCs w:val="32"/>
          <w:lang w:val="en-US" w:eastAsia="zh-CN" w:bidi="ar-SA"/>
        </w:rPr>
        <w:t>、商务局</w:t>
      </w:r>
      <w:r>
        <w:rPr>
          <w:rFonts w:hint="default" w:ascii="Times New Roman" w:hAnsi="Times New Roman" w:eastAsia="仿宋_GB2312" w:cs="Times New Roman"/>
          <w:color w:val="auto"/>
          <w:spacing w:val="1"/>
          <w:kern w:val="2"/>
          <w:sz w:val="32"/>
          <w:szCs w:val="32"/>
          <w:lang w:val="en-US" w:eastAsia="en-US" w:bidi="ar-SA"/>
        </w:rPr>
        <w:t>，</w:t>
      </w:r>
      <w:r>
        <w:rPr>
          <w:rFonts w:hint="default" w:ascii="Times New Roman" w:hAnsi="Times New Roman" w:eastAsia="仿宋_GB2312" w:cs="Times New Roman"/>
          <w:color w:val="auto"/>
          <w:spacing w:val="1"/>
          <w:kern w:val="2"/>
          <w:sz w:val="32"/>
          <w:szCs w:val="32"/>
          <w:lang w:val="en-US" w:eastAsia="zh-CN" w:bidi="ar-SA"/>
        </w:rPr>
        <w:t>新乡海关，郑州铁路物流中心</w:t>
      </w:r>
      <w:r>
        <w:rPr>
          <w:rFonts w:hint="default" w:ascii="Times New Roman" w:hAnsi="Times New Roman" w:eastAsia="仿宋_GB2312" w:cs="Times New Roman"/>
          <w:color w:val="auto"/>
          <w:spacing w:val="1"/>
          <w:kern w:val="2"/>
          <w:sz w:val="32"/>
          <w:szCs w:val="32"/>
          <w:lang w:val="en-US" w:eastAsia="en-US" w:bidi="ar-SA"/>
        </w:rPr>
        <w:t>）</w:t>
      </w:r>
    </w:p>
    <w:p w14:paraId="051C897D">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2.</w:t>
      </w:r>
      <w:r>
        <w:rPr>
          <w:rFonts w:hint="eastAsia" w:ascii="仿宋_GB2312" w:hAnsi="仿宋_GB2312" w:eastAsia="仿宋_GB2312" w:cs="仿宋_GB2312"/>
          <w:color w:val="auto"/>
          <w:spacing w:val="1"/>
          <w:kern w:val="2"/>
          <w:sz w:val="32"/>
          <w:szCs w:val="32"/>
          <w:lang w:val="en-US" w:eastAsia="en-US" w:bidi="ar-SA"/>
        </w:rPr>
        <w:t>积极推</w:t>
      </w:r>
      <w:r>
        <w:rPr>
          <w:rFonts w:hint="eastAsia" w:ascii="仿宋_GB2312" w:hAnsi="仿宋_GB2312" w:eastAsia="仿宋_GB2312" w:cs="仿宋_GB2312"/>
          <w:color w:val="auto"/>
          <w:spacing w:val="1"/>
          <w:kern w:val="2"/>
          <w:sz w:val="32"/>
          <w:szCs w:val="32"/>
          <w:lang w:val="en-US" w:eastAsia="zh-CN" w:bidi="ar-SA"/>
        </w:rPr>
        <w:t>行</w:t>
      </w:r>
      <w:r>
        <w:rPr>
          <w:rFonts w:hint="eastAsia" w:ascii="仿宋_GB2312" w:hAnsi="仿宋_GB2312" w:eastAsia="仿宋_GB2312" w:cs="仿宋_GB2312"/>
          <w:color w:val="auto"/>
          <w:spacing w:val="1"/>
          <w:kern w:val="2"/>
          <w:sz w:val="32"/>
          <w:szCs w:val="32"/>
          <w:lang w:val="en-US" w:eastAsia="en-US" w:bidi="ar-SA"/>
        </w:rPr>
        <w:t>“区块链+多式联运”</w:t>
      </w:r>
      <w:r>
        <w:rPr>
          <w:rFonts w:hint="eastAsia" w:ascii="仿宋_GB2312" w:hAnsi="仿宋_GB2312" w:eastAsia="仿宋_GB2312" w:cs="仿宋_GB2312"/>
          <w:color w:val="auto"/>
          <w:spacing w:val="1"/>
          <w:kern w:val="2"/>
          <w:sz w:val="32"/>
          <w:szCs w:val="32"/>
          <w:lang w:val="en-US" w:eastAsia="zh-CN" w:bidi="ar-SA"/>
        </w:rPr>
        <w:t>模式</w:t>
      </w:r>
      <w:r>
        <w:rPr>
          <w:rFonts w:hint="eastAsia" w:ascii="仿宋_GB2312" w:hAnsi="仿宋_GB2312" w:eastAsia="仿宋_GB2312" w:cs="仿宋_GB2312"/>
          <w:color w:val="auto"/>
          <w:spacing w:val="1"/>
          <w:kern w:val="2"/>
          <w:sz w:val="32"/>
          <w:szCs w:val="32"/>
          <w:lang w:val="en-US" w:eastAsia="en-US" w:bidi="ar-SA"/>
        </w:rPr>
        <w:t>，推动集装箱运输数字身份认证、单证电子化和“铁水”联运信息互联共享，更好实现“一单制”“一箱制”</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局，郑州铁路物流中心</w:t>
      </w:r>
      <w:r>
        <w:rPr>
          <w:rFonts w:hint="eastAsia" w:ascii="仿宋_GB2312" w:hAnsi="仿宋_GB2312" w:eastAsia="仿宋_GB2312" w:cs="仿宋_GB2312"/>
          <w:color w:val="auto"/>
          <w:spacing w:val="1"/>
          <w:kern w:val="2"/>
          <w:sz w:val="32"/>
          <w:szCs w:val="32"/>
          <w:lang w:val="en-US" w:eastAsia="en-US" w:bidi="ar-SA"/>
        </w:rPr>
        <w:t>）</w:t>
      </w:r>
    </w:p>
    <w:p w14:paraId="11314069">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0" w:firstLineChars="200"/>
        <w:jc w:val="left"/>
        <w:textAlignment w:val="auto"/>
        <w:outlineLvl w:val="2"/>
        <w:rPr>
          <w:rFonts w:hint="eastAsia" w:ascii="楷体" w:hAnsi="楷体" w:eastAsia="楷体" w:cs="仿宋"/>
          <w:color w:val="auto"/>
          <w:sz w:val="32"/>
          <w:szCs w:val="32"/>
          <w:lang w:val="en-US" w:eastAsia="zh-CN" w:bidi="ar-SA"/>
        </w:rPr>
      </w:pPr>
      <w:r>
        <w:rPr>
          <w:rFonts w:hint="eastAsia" w:ascii="楷体" w:hAnsi="楷体" w:eastAsia="楷体" w:cs="仿宋"/>
          <w:color w:val="auto"/>
          <w:sz w:val="32"/>
          <w:szCs w:val="32"/>
          <w:lang w:val="en-US" w:eastAsia="en-US" w:bidi="ar-SA"/>
        </w:rPr>
        <w:t>（</w:t>
      </w:r>
      <w:bookmarkStart w:id="5" w:name="（四）加快建设绿色低碳交通基础设施"/>
      <w:bookmarkEnd w:id="5"/>
      <w:r>
        <w:rPr>
          <w:rFonts w:hint="eastAsia" w:ascii="楷体" w:hAnsi="楷体" w:eastAsia="楷体" w:cs="仿宋"/>
          <w:color w:val="auto"/>
          <w:sz w:val="32"/>
          <w:szCs w:val="32"/>
          <w:lang w:val="en-US" w:eastAsia="zh-CN" w:bidi="ar-SA"/>
        </w:rPr>
        <w:t>三</w:t>
      </w:r>
      <w:r>
        <w:rPr>
          <w:rFonts w:hint="eastAsia" w:ascii="楷体" w:hAnsi="楷体" w:eastAsia="楷体" w:cs="仿宋"/>
          <w:color w:val="auto"/>
          <w:sz w:val="32"/>
          <w:szCs w:val="32"/>
          <w:lang w:val="en-US" w:eastAsia="en-US" w:bidi="ar-SA"/>
        </w:rPr>
        <w:t>）加快建设绿色低碳交通基础设施</w:t>
      </w:r>
      <w:r>
        <w:rPr>
          <w:rFonts w:hint="eastAsia" w:ascii="楷体" w:hAnsi="楷体" w:eastAsia="楷体" w:cs="仿宋"/>
          <w:color w:val="auto"/>
          <w:sz w:val="32"/>
          <w:szCs w:val="32"/>
          <w:lang w:val="en-US" w:eastAsia="zh-CN" w:bidi="ar-SA"/>
        </w:rPr>
        <w:t>。</w:t>
      </w:r>
    </w:p>
    <w:p w14:paraId="33ACD6B1">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default" w:ascii="仿宋_GB2312" w:hAnsi="仿宋_GB2312" w:eastAsia="仿宋_GB2312" w:cs="仿宋_GB2312"/>
          <w:color w:val="auto"/>
          <w:spacing w:val="1"/>
          <w:kern w:val="2"/>
          <w:sz w:val="32"/>
          <w:szCs w:val="32"/>
          <w:lang w:val="en-US" w:eastAsia="zh-CN" w:bidi="ar-SA"/>
        </w:rPr>
      </w:pPr>
      <w:r>
        <w:rPr>
          <w:rFonts w:hint="eastAsia" w:ascii="仿宋_GB2312" w:hAnsi="仿宋_GB2312" w:eastAsia="仿宋_GB2312" w:cs="仿宋_GB2312"/>
          <w:color w:val="auto"/>
          <w:spacing w:val="1"/>
          <w:kern w:val="2"/>
          <w:sz w:val="32"/>
          <w:szCs w:val="32"/>
          <w:lang w:val="en-US" w:eastAsia="zh-CN" w:bidi="ar-SA"/>
        </w:rPr>
        <w:t>1.依托我市境内京港澳高速、大广高速、安罗高速、菏宝高速等高速公路服务区</w:t>
      </w:r>
      <w:r>
        <w:rPr>
          <w:rFonts w:hint="eastAsia" w:ascii="仿宋_GB2312" w:hAnsi="仿宋_GB2312" w:eastAsia="仿宋_GB2312" w:cs="仿宋_GB2312"/>
          <w:color w:val="auto"/>
          <w:spacing w:val="1"/>
          <w:kern w:val="2"/>
          <w:sz w:val="32"/>
          <w:szCs w:val="32"/>
          <w:lang w:val="en-US" w:eastAsia="en-US" w:bidi="ar-SA"/>
        </w:rPr>
        <w:t>，推动</w:t>
      </w:r>
      <w:r>
        <w:rPr>
          <w:rFonts w:hint="eastAsia" w:ascii="仿宋_GB2312" w:hAnsi="仿宋_GB2312" w:eastAsia="仿宋_GB2312" w:cs="仿宋_GB2312"/>
          <w:color w:val="auto"/>
          <w:spacing w:val="1"/>
          <w:kern w:val="2"/>
          <w:sz w:val="32"/>
          <w:szCs w:val="32"/>
          <w:lang w:val="en-US" w:eastAsia="zh-CN" w:bidi="ar-SA"/>
        </w:rPr>
        <w:t>零碳运输通道</w:t>
      </w:r>
      <w:r>
        <w:rPr>
          <w:rFonts w:hint="eastAsia" w:ascii="仿宋_GB2312" w:hAnsi="仿宋_GB2312" w:eastAsia="仿宋_GB2312" w:cs="仿宋_GB2312"/>
          <w:color w:val="auto"/>
          <w:spacing w:val="1"/>
          <w:kern w:val="2"/>
          <w:sz w:val="32"/>
          <w:szCs w:val="32"/>
          <w:lang w:val="en-US" w:eastAsia="en-US" w:bidi="ar-SA"/>
        </w:rPr>
        <w:t>建设。支持能源企业、物流企业、装备制造企业组建联合体参与</w:t>
      </w:r>
      <w:r>
        <w:rPr>
          <w:rFonts w:hint="eastAsia" w:ascii="仿宋_GB2312" w:hAnsi="仿宋_GB2312" w:eastAsia="仿宋_GB2312" w:cs="仿宋_GB2312"/>
          <w:color w:val="auto"/>
          <w:spacing w:val="1"/>
          <w:kern w:val="2"/>
          <w:sz w:val="32"/>
          <w:szCs w:val="32"/>
          <w:lang w:val="en-US" w:eastAsia="zh-CN" w:bidi="ar-SA"/>
        </w:rPr>
        <w:t>零碳运输通道</w:t>
      </w:r>
      <w:r>
        <w:rPr>
          <w:rFonts w:hint="eastAsia" w:ascii="仿宋_GB2312" w:hAnsi="仿宋_GB2312" w:eastAsia="仿宋_GB2312" w:cs="仿宋_GB2312"/>
          <w:color w:val="auto"/>
          <w:spacing w:val="1"/>
          <w:kern w:val="2"/>
          <w:sz w:val="32"/>
          <w:szCs w:val="32"/>
          <w:lang w:val="en-US" w:eastAsia="en-US" w:bidi="ar-SA"/>
        </w:rPr>
        <w:t>建设，积极推</w:t>
      </w:r>
      <w:r>
        <w:rPr>
          <w:rFonts w:hint="eastAsia" w:ascii="仿宋_GB2312" w:hAnsi="仿宋_GB2312" w:eastAsia="仿宋_GB2312" w:cs="仿宋_GB2312"/>
          <w:color w:val="auto"/>
          <w:spacing w:val="1"/>
          <w:kern w:val="2"/>
          <w:sz w:val="32"/>
          <w:szCs w:val="32"/>
          <w:lang w:val="en-US" w:eastAsia="zh-CN" w:bidi="ar-SA"/>
        </w:rPr>
        <w:t>动</w:t>
      </w:r>
      <w:r>
        <w:rPr>
          <w:rFonts w:hint="eastAsia" w:ascii="仿宋_GB2312" w:hAnsi="仿宋_GB2312" w:eastAsia="仿宋_GB2312" w:cs="仿宋_GB2312"/>
          <w:color w:val="auto"/>
          <w:spacing w:val="1"/>
          <w:kern w:val="2"/>
          <w:sz w:val="32"/>
          <w:szCs w:val="32"/>
          <w:lang w:val="en-US" w:eastAsia="en-US" w:bidi="ar-SA"/>
        </w:rPr>
        <w:t>纯电动重型货车、氢燃料电池车辆等常态化运营。力争202</w:t>
      </w:r>
      <w:r>
        <w:rPr>
          <w:rFonts w:hint="eastAsia" w:ascii="仿宋_GB2312" w:hAnsi="仿宋_GB2312" w:eastAsia="仿宋_GB2312" w:cs="仿宋_GB2312"/>
          <w:color w:val="auto"/>
          <w:spacing w:val="1"/>
          <w:kern w:val="2"/>
          <w:sz w:val="32"/>
          <w:szCs w:val="32"/>
          <w:lang w:val="en-US" w:eastAsia="zh-CN" w:bidi="ar-SA"/>
        </w:rPr>
        <w:t>6</w:t>
      </w:r>
      <w:r>
        <w:rPr>
          <w:rFonts w:hint="eastAsia" w:ascii="仿宋_GB2312" w:hAnsi="仿宋_GB2312" w:eastAsia="仿宋_GB2312" w:cs="仿宋_GB2312"/>
          <w:color w:val="auto"/>
          <w:spacing w:val="1"/>
          <w:kern w:val="2"/>
          <w:sz w:val="32"/>
          <w:szCs w:val="32"/>
          <w:lang w:val="en-US" w:eastAsia="en-US" w:bidi="ar-SA"/>
        </w:rPr>
        <w:t>年建成</w:t>
      </w:r>
      <w:r>
        <w:rPr>
          <w:rFonts w:hint="eastAsia" w:ascii="仿宋_GB2312" w:hAnsi="仿宋_GB2312" w:eastAsia="仿宋_GB2312" w:cs="仿宋_GB2312"/>
          <w:color w:val="auto"/>
          <w:spacing w:val="1"/>
          <w:kern w:val="2"/>
          <w:sz w:val="32"/>
          <w:szCs w:val="32"/>
          <w:lang w:val="en-US" w:eastAsia="zh-CN" w:bidi="ar-SA"/>
        </w:rPr>
        <w:t>我市境内</w:t>
      </w:r>
      <w:r>
        <w:rPr>
          <w:rFonts w:hint="eastAsia" w:ascii="仿宋_GB2312" w:hAnsi="仿宋_GB2312" w:eastAsia="仿宋_GB2312" w:cs="仿宋_GB2312"/>
          <w:color w:val="auto"/>
          <w:spacing w:val="1"/>
          <w:kern w:val="2"/>
          <w:sz w:val="32"/>
          <w:szCs w:val="32"/>
          <w:lang w:val="en-US" w:eastAsia="en-US" w:bidi="ar-SA"/>
        </w:rPr>
        <w:t>京港澳高速</w:t>
      </w:r>
      <w:r>
        <w:rPr>
          <w:rFonts w:hint="eastAsia" w:ascii="仿宋_GB2312" w:hAnsi="仿宋_GB2312" w:eastAsia="仿宋_GB2312" w:cs="仿宋_GB2312"/>
          <w:color w:val="auto"/>
          <w:spacing w:val="1"/>
          <w:kern w:val="2"/>
          <w:sz w:val="32"/>
          <w:szCs w:val="32"/>
          <w:lang w:val="en-US" w:eastAsia="zh-CN" w:bidi="ar-SA"/>
        </w:rPr>
        <w:t>零碳运输通道</w:t>
      </w:r>
      <w:r>
        <w:rPr>
          <w:rFonts w:hint="eastAsia" w:ascii="仿宋_GB2312" w:hAnsi="仿宋_GB2312" w:eastAsia="仿宋_GB2312" w:cs="仿宋_GB2312"/>
          <w:color w:val="auto"/>
          <w:spacing w:val="1"/>
          <w:kern w:val="2"/>
          <w:sz w:val="32"/>
          <w:szCs w:val="32"/>
          <w:lang w:val="en-US" w:eastAsia="en-US" w:bidi="ar-SA"/>
        </w:rPr>
        <w:t>，2027年建成</w:t>
      </w:r>
      <w:r>
        <w:rPr>
          <w:rFonts w:hint="eastAsia" w:ascii="仿宋_GB2312" w:hAnsi="仿宋_GB2312" w:eastAsia="仿宋_GB2312" w:cs="仿宋_GB2312"/>
          <w:color w:val="auto"/>
          <w:spacing w:val="1"/>
          <w:kern w:val="2"/>
          <w:sz w:val="32"/>
          <w:szCs w:val="32"/>
          <w:lang w:val="en-US" w:eastAsia="zh-CN" w:bidi="ar-SA"/>
        </w:rPr>
        <w:t>我市境内菏宝高速零碳运输通道</w:t>
      </w:r>
      <w:r>
        <w:rPr>
          <w:rFonts w:hint="eastAsia" w:ascii="仿宋_GB2312" w:hAnsi="仿宋_GB2312" w:eastAsia="仿宋_GB2312" w:cs="仿宋_GB2312"/>
          <w:color w:val="auto"/>
          <w:spacing w:val="1"/>
          <w:kern w:val="2"/>
          <w:sz w:val="32"/>
          <w:szCs w:val="32"/>
          <w:lang w:val="en-US" w:eastAsia="en-US" w:bidi="ar-SA"/>
        </w:rPr>
        <w:t>，2028年建成</w:t>
      </w:r>
      <w:r>
        <w:rPr>
          <w:rFonts w:hint="eastAsia" w:ascii="仿宋_GB2312" w:hAnsi="仿宋_GB2312" w:eastAsia="仿宋_GB2312" w:cs="仿宋_GB2312"/>
          <w:color w:val="auto"/>
          <w:spacing w:val="1"/>
          <w:kern w:val="2"/>
          <w:sz w:val="32"/>
          <w:szCs w:val="32"/>
          <w:lang w:val="en-US" w:eastAsia="zh-CN" w:bidi="ar-SA"/>
        </w:rPr>
        <w:t>我市境内安罗高速零碳运输通道</w:t>
      </w:r>
      <w:r>
        <w:rPr>
          <w:rFonts w:hint="eastAsia" w:ascii="仿宋_GB2312" w:hAnsi="仿宋_GB2312" w:eastAsia="仿宋_GB2312" w:cs="仿宋_GB2312"/>
          <w:color w:val="auto"/>
          <w:spacing w:val="1"/>
          <w:kern w:val="2"/>
          <w:sz w:val="32"/>
          <w:szCs w:val="32"/>
          <w:lang w:val="en-US" w:eastAsia="en-US" w:bidi="ar-SA"/>
        </w:rPr>
        <w:t>。（责任单位：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、发展改革委</w:t>
      </w:r>
      <w:r>
        <w:rPr>
          <w:rFonts w:hint="eastAsia" w:ascii="仿宋_GB2312" w:hAnsi="仿宋_GB2312" w:eastAsia="仿宋_GB2312" w:cs="仿宋_GB2312"/>
          <w:color w:val="auto"/>
          <w:spacing w:val="1"/>
          <w:kern w:val="2"/>
          <w:sz w:val="32"/>
          <w:szCs w:val="32"/>
          <w:lang w:val="en-US" w:eastAsia="zh-CN" w:bidi="ar-SA"/>
        </w:rPr>
        <w:t>、住建局</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新乡国资集团、新乡投资集团、新乡供电公司</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 xml:space="preserve"> </w:t>
      </w:r>
    </w:p>
    <w:p w14:paraId="50B4F100">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2.</w:t>
      </w:r>
      <w:r>
        <w:rPr>
          <w:rFonts w:hint="eastAsia" w:ascii="仿宋_GB2312" w:hAnsi="仿宋_GB2312" w:eastAsia="仿宋_GB2312" w:cs="仿宋_GB2312"/>
          <w:color w:val="auto"/>
          <w:spacing w:val="1"/>
          <w:kern w:val="2"/>
          <w:sz w:val="32"/>
          <w:szCs w:val="32"/>
          <w:lang w:val="en-US" w:eastAsia="en-US" w:bidi="ar-SA"/>
        </w:rPr>
        <w:t>实施交通运输新能源</w:t>
      </w:r>
      <w:r>
        <w:rPr>
          <w:rFonts w:hint="eastAsia" w:ascii="仿宋_GB2312" w:hAnsi="仿宋_GB2312" w:eastAsia="仿宋_GB2312" w:cs="仿宋_GB2312"/>
          <w:color w:val="auto"/>
          <w:spacing w:val="1"/>
          <w:kern w:val="2"/>
          <w:sz w:val="32"/>
          <w:szCs w:val="32"/>
          <w:lang w:val="en-US" w:eastAsia="zh-CN" w:bidi="ar-SA"/>
        </w:rPr>
        <w:t>赋能</w:t>
      </w:r>
      <w:r>
        <w:rPr>
          <w:rFonts w:hint="eastAsia" w:ascii="仿宋_GB2312" w:hAnsi="仿宋_GB2312" w:eastAsia="仿宋_GB2312" w:cs="仿宋_GB2312"/>
          <w:color w:val="auto"/>
          <w:spacing w:val="1"/>
          <w:kern w:val="2"/>
          <w:sz w:val="32"/>
          <w:szCs w:val="32"/>
          <w:lang w:val="en-US" w:eastAsia="en-US" w:bidi="ar-SA"/>
        </w:rPr>
        <w:t>工程。紧扣全市“工”字形产业带发展布局和大宗货物运输特征，选取新乡至郑州、新乡至焦作、新乡至鹤壁等高频货运线路，整合沿线充换电资源，积极建设电动重卡充换电站。</w:t>
      </w:r>
      <w:r>
        <w:rPr>
          <w:rFonts w:hint="eastAsia" w:ascii="仿宋_GB2312" w:hAnsi="仿宋_GB2312" w:eastAsia="仿宋_GB2312" w:cs="仿宋_GB2312"/>
          <w:color w:val="auto"/>
          <w:spacing w:val="1"/>
          <w:kern w:val="2"/>
          <w:sz w:val="32"/>
          <w:szCs w:val="32"/>
          <w:lang w:val="en-US" w:eastAsia="zh-CN" w:bidi="ar-SA"/>
        </w:rPr>
        <w:t>强化充换电站规划建设与电力接入报装前置协同，做好相关办电服务。</w:t>
      </w:r>
      <w:r>
        <w:rPr>
          <w:rFonts w:hint="eastAsia" w:ascii="仿宋_GB2312" w:hAnsi="仿宋_GB2312" w:eastAsia="仿宋_GB2312" w:cs="仿宋_GB2312"/>
          <w:color w:val="auto"/>
          <w:spacing w:val="1"/>
          <w:kern w:val="2"/>
          <w:sz w:val="32"/>
          <w:szCs w:val="32"/>
          <w:lang w:val="en-US" w:eastAsia="en-US" w:bidi="ar-SA"/>
        </w:rPr>
        <w:t>针对新乡市及周边铁路货场、大型工矿企业、内陆港卡车接驳点，精准对接短倒运输需求。</w:t>
      </w:r>
      <w:r>
        <w:rPr>
          <w:rFonts w:hint="eastAsia" w:ascii="仿宋_GB2312" w:hAnsi="仿宋_GB2312" w:eastAsia="仿宋_GB2312" w:cs="仿宋_GB2312"/>
          <w:color w:val="auto"/>
          <w:spacing w:val="1"/>
          <w:kern w:val="2"/>
          <w:sz w:val="32"/>
          <w:szCs w:val="32"/>
          <w:lang w:val="en-US" w:eastAsia="zh-CN" w:bidi="ar-SA"/>
        </w:rPr>
        <w:t>2026年开工建设10座重卡充换电站，其中高速公路服务区6座，普通干线公路沿线4座。2027年开工建设5座重卡充换电站，其中高速公路服务区2座，普通干线公路沿线3座。到</w:t>
      </w:r>
      <w:r>
        <w:rPr>
          <w:rFonts w:hint="eastAsia" w:ascii="仿宋_GB2312" w:hAnsi="仿宋_GB2312" w:eastAsia="仿宋_GB2312" w:cs="仿宋_GB2312"/>
          <w:color w:val="auto"/>
          <w:spacing w:val="1"/>
          <w:kern w:val="2"/>
          <w:sz w:val="32"/>
          <w:szCs w:val="32"/>
          <w:lang w:val="en-US" w:eastAsia="en-US" w:bidi="ar-SA"/>
        </w:rPr>
        <w:t>2028年</w:t>
      </w:r>
      <w:r>
        <w:rPr>
          <w:rFonts w:hint="eastAsia" w:ascii="仿宋_GB2312" w:hAnsi="仿宋_GB2312" w:eastAsia="仿宋_GB2312" w:cs="仿宋_GB2312"/>
          <w:color w:val="auto"/>
          <w:spacing w:val="1"/>
          <w:kern w:val="2"/>
          <w:sz w:val="32"/>
          <w:szCs w:val="32"/>
          <w:lang w:val="en-US" w:eastAsia="zh-CN" w:bidi="ar-SA"/>
        </w:rPr>
        <w:t>全市</w:t>
      </w:r>
      <w:r>
        <w:rPr>
          <w:rFonts w:hint="eastAsia" w:ascii="仿宋_GB2312" w:hAnsi="仿宋_GB2312" w:eastAsia="仿宋_GB2312" w:cs="仿宋_GB2312"/>
          <w:color w:val="auto"/>
          <w:spacing w:val="1"/>
          <w:kern w:val="2"/>
          <w:sz w:val="32"/>
          <w:szCs w:val="32"/>
          <w:lang w:val="en-US" w:eastAsia="en-US" w:bidi="ar-SA"/>
        </w:rPr>
        <w:t>公路沿线建成</w:t>
      </w:r>
      <w:r>
        <w:rPr>
          <w:rFonts w:hint="eastAsia" w:ascii="仿宋_GB2312" w:hAnsi="仿宋_GB2312" w:eastAsia="仿宋_GB2312" w:cs="仿宋_GB2312"/>
          <w:color w:val="auto"/>
          <w:spacing w:val="1"/>
          <w:kern w:val="2"/>
          <w:sz w:val="32"/>
          <w:szCs w:val="32"/>
          <w:lang w:val="en-US" w:eastAsia="zh-CN" w:bidi="ar-SA"/>
        </w:rPr>
        <w:t>20</w:t>
      </w:r>
      <w:r>
        <w:rPr>
          <w:rFonts w:hint="eastAsia" w:ascii="仿宋_GB2312" w:hAnsi="仿宋_GB2312" w:eastAsia="仿宋_GB2312" w:cs="仿宋_GB2312"/>
          <w:color w:val="auto"/>
          <w:spacing w:val="1"/>
          <w:kern w:val="2"/>
          <w:sz w:val="32"/>
          <w:szCs w:val="32"/>
          <w:lang w:val="en-US" w:eastAsia="en-US" w:bidi="ar-SA"/>
        </w:rPr>
        <w:t>个</w:t>
      </w:r>
      <w:r>
        <w:rPr>
          <w:rFonts w:hint="eastAsia" w:ascii="仿宋_GB2312" w:hAnsi="仿宋_GB2312" w:eastAsia="仿宋_GB2312" w:cs="仿宋_GB2312"/>
          <w:color w:val="auto"/>
          <w:spacing w:val="1"/>
          <w:kern w:val="2"/>
          <w:sz w:val="32"/>
          <w:szCs w:val="32"/>
          <w:lang w:val="en-US" w:eastAsia="zh-CN" w:bidi="ar-SA"/>
        </w:rPr>
        <w:t>以上</w:t>
      </w:r>
      <w:r>
        <w:rPr>
          <w:rFonts w:hint="eastAsia" w:ascii="仿宋_GB2312" w:hAnsi="仿宋_GB2312" w:eastAsia="仿宋_GB2312" w:cs="仿宋_GB2312"/>
          <w:color w:val="auto"/>
          <w:spacing w:val="1"/>
          <w:kern w:val="2"/>
          <w:sz w:val="32"/>
          <w:szCs w:val="32"/>
          <w:lang w:val="en-US" w:eastAsia="en-US" w:bidi="ar-SA"/>
        </w:rPr>
        <w:t>绿色低碳服务区（站）。（责任单位：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、发展改革委、</w:t>
      </w:r>
      <w:r>
        <w:rPr>
          <w:rFonts w:hint="eastAsia" w:ascii="仿宋_GB2312" w:hAnsi="仿宋_GB2312" w:eastAsia="仿宋_GB2312" w:cs="仿宋_GB2312"/>
          <w:color w:val="auto"/>
          <w:spacing w:val="1"/>
          <w:kern w:val="2"/>
          <w:sz w:val="32"/>
          <w:szCs w:val="32"/>
          <w:lang w:val="en-US" w:eastAsia="zh-CN" w:bidi="ar-SA"/>
        </w:rPr>
        <w:t>资源规划局、住建局</w:t>
      </w:r>
      <w:r>
        <w:rPr>
          <w:rFonts w:hint="eastAsia" w:ascii="仿宋_GB2312" w:hAnsi="仿宋_GB2312" w:eastAsia="仿宋_GB2312" w:cs="仿宋_GB2312"/>
          <w:color w:val="auto"/>
          <w:spacing w:val="1"/>
          <w:kern w:val="2"/>
          <w:sz w:val="32"/>
          <w:szCs w:val="32"/>
          <w:lang w:val="en-US" w:eastAsia="en-US" w:bidi="ar-SA"/>
        </w:rPr>
        <w:t>，新乡国资集团、新乡投资集团</w:t>
      </w:r>
      <w:r>
        <w:rPr>
          <w:rFonts w:hint="eastAsia" w:ascii="仿宋_GB2312" w:hAnsi="仿宋_GB2312" w:eastAsia="仿宋_GB2312" w:cs="仿宋_GB2312"/>
          <w:color w:val="auto"/>
          <w:spacing w:val="1"/>
          <w:kern w:val="2"/>
          <w:sz w:val="32"/>
          <w:szCs w:val="32"/>
          <w:lang w:val="en-US" w:eastAsia="zh-CN" w:bidi="ar-SA"/>
        </w:rPr>
        <w:t>、新乡供电公司</w:t>
      </w:r>
      <w:r>
        <w:rPr>
          <w:rFonts w:hint="eastAsia" w:ascii="仿宋_GB2312" w:hAnsi="仿宋_GB2312" w:eastAsia="仿宋_GB2312" w:cs="仿宋_GB2312"/>
          <w:color w:val="auto"/>
          <w:spacing w:val="1"/>
          <w:kern w:val="2"/>
          <w:sz w:val="32"/>
          <w:szCs w:val="32"/>
          <w:lang w:val="en-US" w:eastAsia="en-US" w:bidi="ar-SA"/>
        </w:rPr>
        <w:t>）</w:t>
      </w:r>
    </w:p>
    <w:p w14:paraId="30272D16">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default" w:ascii="仿宋_GB2312" w:hAnsi="仿宋_GB2312" w:eastAsia="仿宋_GB2312" w:cs="仿宋_GB2312"/>
          <w:color w:val="auto"/>
          <w:spacing w:val="1"/>
          <w:kern w:val="2"/>
          <w:sz w:val="32"/>
          <w:szCs w:val="32"/>
          <w:lang w:val="en-US" w:eastAsia="zh-CN" w:bidi="ar-SA"/>
        </w:rPr>
      </w:pPr>
      <w:r>
        <w:rPr>
          <w:rFonts w:hint="eastAsia" w:ascii="仿宋_GB2312" w:hAnsi="仿宋_GB2312" w:eastAsia="仿宋_GB2312" w:cs="仿宋_GB2312"/>
          <w:color w:val="auto"/>
          <w:spacing w:val="1"/>
          <w:kern w:val="2"/>
          <w:sz w:val="32"/>
          <w:szCs w:val="32"/>
          <w:lang w:val="en-US" w:eastAsia="zh-CN" w:bidi="ar-SA"/>
        </w:rPr>
        <w:t>3.培育多元市场参与主体。鼓励由交通基础设施运营企业牵头，采用投资、建设、运营一体化模式，在高速公路沿线建设光伏、风电、储能、充换电站等新能源设施，打造一批可复制、可推广的应用场景。支持市县交通投资平台、社会资本与省级平台开展合作，引导本地物流企业和充电运营企业积极参与，形成多元竞争、共同发展的良好格局。（责任单位：市交通运输局、发展改革委、住建局，新乡国资集团、新乡投资集团、新乡供电公司）</w:t>
      </w:r>
    </w:p>
    <w:p w14:paraId="7429D093">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0" w:firstLineChars="200"/>
        <w:jc w:val="left"/>
        <w:textAlignment w:val="auto"/>
        <w:outlineLvl w:val="2"/>
        <w:rPr>
          <w:rFonts w:hint="eastAsia" w:ascii="楷体" w:hAnsi="楷体" w:eastAsia="楷体" w:cs="仿宋"/>
          <w:color w:val="auto"/>
          <w:sz w:val="32"/>
          <w:szCs w:val="32"/>
          <w:lang w:val="en-US" w:eastAsia="zh-CN" w:bidi="ar-SA"/>
        </w:rPr>
      </w:pPr>
      <w:r>
        <w:rPr>
          <w:rFonts w:hint="eastAsia" w:ascii="楷体" w:hAnsi="楷体" w:eastAsia="楷体" w:cs="仿宋"/>
          <w:color w:val="auto"/>
          <w:sz w:val="32"/>
          <w:szCs w:val="32"/>
          <w:lang w:val="en-US" w:eastAsia="en-US" w:bidi="ar-SA"/>
        </w:rPr>
        <w:t>（</w:t>
      </w:r>
      <w:bookmarkStart w:id="6" w:name="（五）大力推广新能源运输装备"/>
      <w:bookmarkEnd w:id="6"/>
      <w:r>
        <w:rPr>
          <w:rFonts w:hint="eastAsia" w:ascii="楷体" w:hAnsi="楷体" w:eastAsia="楷体" w:cs="仿宋"/>
          <w:color w:val="auto"/>
          <w:sz w:val="32"/>
          <w:szCs w:val="32"/>
          <w:lang w:val="en-US" w:eastAsia="zh-CN" w:bidi="ar-SA"/>
        </w:rPr>
        <w:t>四</w:t>
      </w:r>
      <w:r>
        <w:rPr>
          <w:rFonts w:hint="eastAsia" w:ascii="楷体" w:hAnsi="楷体" w:eastAsia="楷体" w:cs="仿宋"/>
          <w:color w:val="auto"/>
          <w:sz w:val="32"/>
          <w:szCs w:val="32"/>
          <w:lang w:val="en-US" w:eastAsia="en-US" w:bidi="ar-SA"/>
        </w:rPr>
        <w:t>）大力推广</w:t>
      </w:r>
      <w:r>
        <w:rPr>
          <w:rFonts w:hint="eastAsia" w:ascii="楷体" w:hAnsi="楷体" w:eastAsia="楷体" w:cs="仿宋"/>
          <w:color w:val="auto"/>
          <w:sz w:val="32"/>
          <w:szCs w:val="32"/>
          <w:lang w:val="en-US" w:eastAsia="zh-CN" w:bidi="ar-SA"/>
        </w:rPr>
        <w:t>应用</w:t>
      </w:r>
      <w:r>
        <w:rPr>
          <w:rFonts w:hint="eastAsia" w:ascii="楷体" w:hAnsi="楷体" w:eastAsia="楷体" w:cs="仿宋"/>
          <w:color w:val="auto"/>
          <w:sz w:val="32"/>
          <w:szCs w:val="32"/>
          <w:lang w:val="en-US" w:eastAsia="en-US" w:bidi="ar-SA"/>
        </w:rPr>
        <w:t>新能源运输装备</w:t>
      </w:r>
      <w:r>
        <w:rPr>
          <w:rFonts w:hint="eastAsia" w:ascii="楷体" w:hAnsi="楷体" w:eastAsia="楷体" w:cs="仿宋"/>
          <w:color w:val="auto"/>
          <w:sz w:val="32"/>
          <w:szCs w:val="32"/>
          <w:lang w:val="en-US" w:eastAsia="zh-CN" w:bidi="ar-SA"/>
        </w:rPr>
        <w:t>。</w:t>
      </w:r>
    </w:p>
    <w:p w14:paraId="635BECF2">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zh-CN" w:bidi="ar-SA"/>
        </w:rPr>
      </w:pPr>
      <w:r>
        <w:rPr>
          <w:rFonts w:hint="eastAsia" w:ascii="仿宋_GB2312" w:hAnsi="仿宋_GB2312" w:eastAsia="仿宋_GB2312" w:cs="仿宋_GB2312"/>
          <w:color w:val="auto"/>
          <w:spacing w:val="1"/>
          <w:kern w:val="2"/>
          <w:sz w:val="32"/>
          <w:szCs w:val="32"/>
          <w:lang w:val="en-US" w:eastAsia="zh-CN" w:bidi="ar-SA"/>
        </w:rPr>
        <w:t>1.</w:t>
      </w:r>
      <w:r>
        <w:rPr>
          <w:rFonts w:hint="eastAsia" w:ascii="仿宋_GB2312" w:hAnsi="仿宋_GB2312" w:eastAsia="仿宋_GB2312" w:cs="仿宋_GB2312"/>
          <w:color w:val="auto"/>
          <w:spacing w:val="1"/>
          <w:kern w:val="2"/>
          <w:sz w:val="32"/>
          <w:szCs w:val="32"/>
          <w:lang w:val="en-US" w:eastAsia="en-US" w:bidi="ar-SA"/>
        </w:rPr>
        <w:t>加快淘汰老旧营运货车，有序推</w:t>
      </w:r>
      <w:r>
        <w:rPr>
          <w:rFonts w:hint="eastAsia" w:ascii="仿宋_GB2312" w:hAnsi="仿宋_GB2312" w:eastAsia="仿宋_GB2312" w:cs="仿宋_GB2312"/>
          <w:color w:val="auto"/>
          <w:spacing w:val="1"/>
          <w:kern w:val="2"/>
          <w:sz w:val="32"/>
          <w:szCs w:val="32"/>
          <w:lang w:val="en-US" w:eastAsia="zh-CN" w:bidi="ar-SA"/>
        </w:rPr>
        <w:t>动</w:t>
      </w:r>
      <w:r>
        <w:rPr>
          <w:rFonts w:hint="eastAsia" w:ascii="仿宋_GB2312" w:hAnsi="仿宋_GB2312" w:eastAsia="仿宋_GB2312" w:cs="仿宋_GB2312"/>
          <w:color w:val="auto"/>
          <w:spacing w:val="1"/>
          <w:kern w:val="2"/>
          <w:sz w:val="32"/>
          <w:szCs w:val="32"/>
          <w:lang w:val="en-US" w:eastAsia="en-US" w:bidi="ar-SA"/>
        </w:rPr>
        <w:t>电动、氢</w:t>
      </w:r>
      <w:r>
        <w:rPr>
          <w:rFonts w:hint="eastAsia" w:ascii="仿宋_GB2312" w:hAnsi="仿宋_GB2312" w:eastAsia="仿宋_GB2312" w:cs="仿宋_GB2312"/>
          <w:color w:val="auto"/>
          <w:spacing w:val="1"/>
          <w:kern w:val="2"/>
          <w:sz w:val="32"/>
          <w:szCs w:val="32"/>
          <w:lang w:val="en-US" w:eastAsia="zh-CN" w:bidi="ar-SA"/>
        </w:rPr>
        <w:t>能</w:t>
      </w:r>
      <w:r>
        <w:rPr>
          <w:rFonts w:hint="eastAsia" w:ascii="仿宋_GB2312" w:hAnsi="仿宋_GB2312" w:eastAsia="仿宋_GB2312" w:cs="仿宋_GB2312"/>
          <w:color w:val="auto"/>
          <w:spacing w:val="1"/>
          <w:kern w:val="2"/>
          <w:sz w:val="32"/>
          <w:szCs w:val="32"/>
          <w:lang w:val="en-US" w:eastAsia="en-US" w:bidi="ar-SA"/>
        </w:rPr>
        <w:t>等新能源营运货车在城市物流配送、干线物流等场景规模化应用。2026年、2027年分别淘汰国四排放标准营运货车400辆、105辆，力争到2027年全市淘汰国四排放标准营运货车，到2028年全市新能源营运货车达到3100辆、较2025年增长约60%。落实国家“两新”政策，鼓励老旧新能源公交车及动力电池更新替代。（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、生态环境</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、财政</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、公安</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、商务</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w:t>
      </w:r>
    </w:p>
    <w:p w14:paraId="5D2AC66C">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2.</w:t>
      </w:r>
      <w:r>
        <w:rPr>
          <w:rFonts w:hint="eastAsia" w:ascii="仿宋_GB2312" w:hAnsi="仿宋_GB2312" w:eastAsia="仿宋_GB2312" w:cs="仿宋_GB2312"/>
          <w:color w:val="auto"/>
          <w:spacing w:val="1"/>
          <w:kern w:val="2"/>
          <w:sz w:val="32"/>
          <w:szCs w:val="32"/>
          <w:lang w:val="en-US" w:eastAsia="en-US" w:bidi="ar-SA"/>
        </w:rPr>
        <w:t>加快推广新能源非道路移动机械，推动电动</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氢能叉车</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装载机等装备在物流园区、工业园区、施工工地等领域应用，新开工交通运输建设项目新能源非道路</w:t>
      </w:r>
      <w:r>
        <w:rPr>
          <w:rFonts w:hint="eastAsia" w:ascii="仿宋_GB2312" w:hAnsi="仿宋_GB2312" w:eastAsia="仿宋_GB2312" w:cs="仿宋_GB2312"/>
          <w:color w:val="auto"/>
          <w:spacing w:val="1"/>
          <w:kern w:val="2"/>
          <w:sz w:val="32"/>
          <w:szCs w:val="32"/>
          <w:lang w:val="en-US" w:eastAsia="zh-CN" w:bidi="ar-SA"/>
        </w:rPr>
        <w:t>移动</w:t>
      </w:r>
      <w:r>
        <w:rPr>
          <w:rFonts w:hint="eastAsia" w:ascii="仿宋_GB2312" w:hAnsi="仿宋_GB2312" w:eastAsia="仿宋_GB2312" w:cs="仿宋_GB2312"/>
          <w:color w:val="auto"/>
          <w:spacing w:val="1"/>
          <w:kern w:val="2"/>
          <w:sz w:val="32"/>
          <w:szCs w:val="32"/>
          <w:lang w:val="en-US" w:eastAsia="en-US" w:bidi="ar-SA"/>
        </w:rPr>
        <w:t>机械配置比例不低于20%。（责任单位：生态环境</w:t>
      </w:r>
      <w:r>
        <w:rPr>
          <w:rFonts w:hint="eastAsia" w:ascii="仿宋_GB2312" w:hAnsi="仿宋_GB2312" w:eastAsia="仿宋_GB2312" w:cs="仿宋_GB2312"/>
          <w:color w:val="auto"/>
          <w:spacing w:val="1"/>
          <w:kern w:val="2"/>
          <w:sz w:val="32"/>
          <w:szCs w:val="32"/>
          <w:lang w:val="en-US" w:eastAsia="zh-CN" w:bidi="ar-SA"/>
        </w:rPr>
        <w:t>局、市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w:t>
      </w:r>
    </w:p>
    <w:p w14:paraId="3D5EAF64">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0" w:firstLineChars="200"/>
        <w:jc w:val="left"/>
        <w:textAlignment w:val="auto"/>
        <w:outlineLvl w:val="2"/>
        <w:rPr>
          <w:rFonts w:hint="eastAsia" w:ascii="楷体" w:hAnsi="楷体" w:eastAsia="楷体" w:cs="仿宋"/>
          <w:color w:val="auto"/>
          <w:sz w:val="32"/>
          <w:szCs w:val="32"/>
          <w:lang w:val="en-US" w:eastAsia="zh-CN" w:bidi="ar-SA"/>
        </w:rPr>
      </w:pPr>
      <w:r>
        <w:rPr>
          <w:rFonts w:hint="eastAsia" w:ascii="楷体" w:hAnsi="楷体" w:eastAsia="楷体" w:cs="仿宋"/>
          <w:color w:val="auto"/>
          <w:sz w:val="32"/>
          <w:szCs w:val="32"/>
          <w:lang w:val="en-US" w:eastAsia="en-US" w:bidi="ar-SA"/>
        </w:rPr>
        <w:t>（</w:t>
      </w:r>
      <w:bookmarkStart w:id="7" w:name="（六）加快推动重点领域清洁运输"/>
      <w:bookmarkEnd w:id="7"/>
      <w:r>
        <w:rPr>
          <w:rFonts w:hint="eastAsia" w:ascii="楷体" w:hAnsi="楷体" w:eastAsia="楷体" w:cs="仿宋"/>
          <w:color w:val="auto"/>
          <w:sz w:val="32"/>
          <w:szCs w:val="32"/>
          <w:lang w:val="en-US" w:eastAsia="zh-CN" w:bidi="ar-SA"/>
        </w:rPr>
        <w:t>五</w:t>
      </w:r>
      <w:r>
        <w:rPr>
          <w:rFonts w:hint="eastAsia" w:ascii="楷体" w:hAnsi="楷体" w:eastAsia="楷体" w:cs="仿宋"/>
          <w:color w:val="auto"/>
          <w:sz w:val="32"/>
          <w:szCs w:val="32"/>
          <w:lang w:val="en-US" w:eastAsia="en-US" w:bidi="ar-SA"/>
        </w:rPr>
        <w:t>）加快推动重点领域清洁运输</w:t>
      </w:r>
      <w:r>
        <w:rPr>
          <w:rFonts w:hint="eastAsia" w:ascii="楷体" w:hAnsi="楷体" w:eastAsia="楷体" w:cs="仿宋"/>
          <w:color w:val="auto"/>
          <w:sz w:val="32"/>
          <w:szCs w:val="32"/>
          <w:lang w:val="en-US" w:eastAsia="zh-CN" w:bidi="ar-SA"/>
        </w:rPr>
        <w:t>。</w:t>
      </w:r>
    </w:p>
    <w:p w14:paraId="568C86AD">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1.</w:t>
      </w:r>
      <w:r>
        <w:rPr>
          <w:rFonts w:hint="eastAsia" w:ascii="仿宋_GB2312" w:hAnsi="仿宋_GB2312" w:eastAsia="仿宋_GB2312" w:cs="仿宋_GB2312"/>
          <w:color w:val="auto"/>
          <w:spacing w:val="1"/>
          <w:kern w:val="2"/>
          <w:sz w:val="32"/>
          <w:szCs w:val="32"/>
          <w:lang w:val="en-US" w:eastAsia="en-US" w:bidi="ar-SA"/>
        </w:rPr>
        <w:t>大力推广清洁运输</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2027年火电、钢铁、煤炭、焦化、有色、水泥、石化、化工等重点行业大宗货物清洁运输比例达到85%以上，新</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改、扩</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建项目原则上采用清洁运输方式。重点行业企业、工业园区、产业集群、物流园区、施工工地、矿山、铁路货场新增或更新的内部车辆和非道路移动机械原则上采用新能源</w:t>
      </w:r>
      <w:r>
        <w:rPr>
          <w:rFonts w:hint="eastAsia" w:ascii="仿宋_GB2312" w:hAnsi="仿宋_GB2312" w:eastAsia="仿宋_GB2312" w:cs="仿宋_GB2312"/>
          <w:color w:val="auto"/>
          <w:spacing w:val="1"/>
          <w:kern w:val="2"/>
          <w:sz w:val="32"/>
          <w:szCs w:val="32"/>
          <w:lang w:val="en-US" w:eastAsia="zh-CN" w:bidi="ar-SA"/>
        </w:rPr>
        <w:t>车辆（机械）</w:t>
      </w:r>
      <w:r>
        <w:rPr>
          <w:rFonts w:hint="eastAsia" w:ascii="仿宋_GB2312" w:hAnsi="仿宋_GB2312" w:eastAsia="仿宋_GB2312" w:cs="仿宋_GB2312"/>
          <w:color w:val="auto"/>
          <w:spacing w:val="1"/>
          <w:kern w:val="2"/>
          <w:sz w:val="32"/>
          <w:szCs w:val="32"/>
          <w:lang w:val="en-US" w:eastAsia="en-US" w:bidi="ar-SA"/>
        </w:rPr>
        <w:t>。（责任单位：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生态环境</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、发展改革委）</w:t>
      </w:r>
    </w:p>
    <w:p w14:paraId="660581A6">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2.</w:t>
      </w:r>
      <w:r>
        <w:rPr>
          <w:rFonts w:hint="eastAsia" w:ascii="仿宋_GB2312" w:hAnsi="仿宋_GB2312" w:eastAsia="仿宋_GB2312" w:cs="仿宋_GB2312"/>
          <w:color w:val="auto"/>
          <w:spacing w:val="1"/>
          <w:kern w:val="2"/>
          <w:sz w:val="32"/>
          <w:szCs w:val="32"/>
          <w:lang w:val="en-US" w:eastAsia="en-US" w:bidi="ar-SA"/>
        </w:rPr>
        <w:t>加强公路货车超限超载治理</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完善工作机制，常态化开展治超联合执法，加强</w:t>
      </w:r>
      <w:r>
        <w:rPr>
          <w:rFonts w:hint="eastAsia" w:ascii="仿宋_GB2312" w:hAnsi="仿宋_GB2312" w:eastAsia="仿宋_GB2312" w:cs="仿宋_GB2312"/>
          <w:color w:val="auto"/>
          <w:spacing w:val="1"/>
          <w:kern w:val="2"/>
          <w:sz w:val="32"/>
          <w:szCs w:val="32"/>
          <w:lang w:val="en-US" w:eastAsia="zh-CN" w:bidi="ar-SA"/>
        </w:rPr>
        <w:t>对</w:t>
      </w:r>
      <w:r>
        <w:rPr>
          <w:rFonts w:hint="eastAsia" w:ascii="仿宋_GB2312" w:hAnsi="仿宋_GB2312" w:eastAsia="仿宋_GB2312" w:cs="仿宋_GB2312"/>
          <w:color w:val="auto"/>
          <w:spacing w:val="1"/>
          <w:kern w:val="2"/>
          <w:sz w:val="32"/>
          <w:szCs w:val="32"/>
          <w:lang w:val="en-US" w:eastAsia="en-US" w:bidi="ar-SA"/>
        </w:rPr>
        <w:t>违法货车</w:t>
      </w:r>
      <w:r>
        <w:rPr>
          <w:rFonts w:hint="eastAsia" w:ascii="仿宋_GB2312" w:hAnsi="仿宋_GB2312" w:eastAsia="仿宋_GB2312" w:cs="仿宋_GB2312"/>
          <w:color w:val="auto"/>
          <w:spacing w:val="1"/>
          <w:kern w:val="2"/>
          <w:sz w:val="32"/>
          <w:szCs w:val="32"/>
          <w:lang w:val="en-US" w:eastAsia="zh-CN" w:bidi="ar-SA"/>
        </w:rPr>
        <w:t>的</w:t>
      </w:r>
      <w:r>
        <w:rPr>
          <w:rFonts w:hint="eastAsia" w:ascii="仿宋_GB2312" w:hAnsi="仿宋_GB2312" w:eastAsia="仿宋_GB2312" w:cs="仿宋_GB2312"/>
          <w:color w:val="auto"/>
          <w:spacing w:val="1"/>
          <w:kern w:val="2"/>
          <w:sz w:val="32"/>
          <w:szCs w:val="32"/>
          <w:lang w:val="en-US" w:eastAsia="en-US" w:bidi="ar-SA"/>
        </w:rPr>
        <w:t>分析研判，依法严厉打击“百吨王”等货车超限超载和抛洒</w:t>
      </w:r>
      <w:r>
        <w:rPr>
          <w:rFonts w:hint="eastAsia" w:ascii="仿宋_GB2312" w:hAnsi="仿宋_GB2312" w:eastAsia="仿宋_GB2312" w:cs="仿宋_GB2312"/>
          <w:color w:val="auto"/>
          <w:spacing w:val="1"/>
          <w:kern w:val="2"/>
          <w:sz w:val="32"/>
          <w:szCs w:val="32"/>
          <w:lang w:val="en-US" w:eastAsia="zh-CN" w:bidi="ar-SA"/>
        </w:rPr>
        <w:t>滴漏</w:t>
      </w:r>
      <w:r>
        <w:rPr>
          <w:rFonts w:hint="eastAsia" w:ascii="仿宋_GB2312" w:hAnsi="仿宋_GB2312" w:eastAsia="仿宋_GB2312" w:cs="仿宋_GB2312"/>
          <w:color w:val="auto"/>
          <w:spacing w:val="1"/>
          <w:kern w:val="2"/>
          <w:sz w:val="32"/>
          <w:szCs w:val="32"/>
          <w:lang w:val="en-US" w:eastAsia="en-US" w:bidi="ar-SA"/>
        </w:rPr>
        <w:t>违法行为。加强普通公路货车不停车动态称重设备</w:t>
      </w:r>
      <w:r>
        <w:rPr>
          <w:rFonts w:hint="eastAsia" w:ascii="仿宋_GB2312" w:hAnsi="仿宋_GB2312" w:eastAsia="仿宋_GB2312" w:cs="仿宋_GB2312"/>
          <w:color w:val="auto"/>
          <w:spacing w:val="1"/>
          <w:kern w:val="2"/>
          <w:sz w:val="32"/>
          <w:szCs w:val="32"/>
          <w:lang w:val="en-US" w:eastAsia="zh-CN" w:bidi="ar-SA"/>
        </w:rPr>
        <w:t>配备和运行管理</w:t>
      </w:r>
      <w:r>
        <w:rPr>
          <w:rFonts w:hint="eastAsia" w:ascii="仿宋_GB2312" w:hAnsi="仿宋_GB2312" w:eastAsia="仿宋_GB2312" w:cs="仿宋_GB2312"/>
          <w:color w:val="auto"/>
          <w:spacing w:val="1"/>
          <w:kern w:val="2"/>
          <w:sz w:val="32"/>
          <w:szCs w:val="32"/>
          <w:lang w:val="en-US" w:eastAsia="en-US" w:bidi="ar-SA"/>
        </w:rPr>
        <w:t>，严格落实收费站入口称重劝返和出口倒查</w:t>
      </w:r>
      <w:r>
        <w:rPr>
          <w:rFonts w:hint="eastAsia" w:ascii="仿宋_GB2312" w:hAnsi="仿宋_GB2312" w:eastAsia="仿宋_GB2312" w:cs="仿宋_GB2312"/>
          <w:color w:val="auto"/>
          <w:spacing w:val="1"/>
          <w:kern w:val="2"/>
          <w:sz w:val="32"/>
          <w:szCs w:val="32"/>
          <w:lang w:val="en-US" w:eastAsia="zh-CN" w:bidi="ar-SA"/>
        </w:rPr>
        <w:t>要求</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确保</w:t>
      </w:r>
      <w:r>
        <w:rPr>
          <w:rFonts w:hint="eastAsia" w:ascii="仿宋_GB2312" w:hAnsi="仿宋_GB2312" w:eastAsia="仿宋_GB2312" w:cs="仿宋_GB2312"/>
          <w:color w:val="auto"/>
          <w:spacing w:val="1"/>
          <w:kern w:val="2"/>
          <w:sz w:val="32"/>
          <w:szCs w:val="32"/>
          <w:lang w:val="en-US" w:eastAsia="en-US" w:bidi="ar-SA"/>
        </w:rPr>
        <w:t>高速公路入口货车超载率</w:t>
      </w:r>
      <w:r>
        <w:rPr>
          <w:rFonts w:hint="eastAsia" w:ascii="仿宋_GB2312" w:hAnsi="仿宋_GB2312" w:eastAsia="仿宋_GB2312" w:cs="仿宋_GB2312"/>
          <w:color w:val="auto"/>
          <w:spacing w:val="1"/>
          <w:kern w:val="2"/>
          <w:sz w:val="32"/>
          <w:szCs w:val="32"/>
          <w:lang w:val="en-US" w:eastAsia="zh-CN" w:bidi="ar-SA"/>
        </w:rPr>
        <w:t>控制在</w:t>
      </w:r>
      <w:r>
        <w:rPr>
          <w:rFonts w:hint="eastAsia" w:ascii="仿宋_GB2312" w:hAnsi="仿宋_GB2312" w:eastAsia="仿宋_GB2312" w:cs="仿宋_GB2312"/>
          <w:color w:val="auto"/>
          <w:spacing w:val="1"/>
          <w:kern w:val="2"/>
          <w:sz w:val="32"/>
          <w:szCs w:val="32"/>
          <w:lang w:val="en-US" w:eastAsia="en-US" w:bidi="ar-SA"/>
        </w:rPr>
        <w:t>0.5%</w:t>
      </w:r>
      <w:r>
        <w:rPr>
          <w:rFonts w:hint="eastAsia" w:ascii="仿宋_GB2312" w:hAnsi="仿宋_GB2312" w:eastAsia="仿宋_GB2312" w:cs="仿宋_GB2312"/>
          <w:color w:val="auto"/>
          <w:spacing w:val="1"/>
          <w:kern w:val="2"/>
          <w:sz w:val="32"/>
          <w:szCs w:val="32"/>
          <w:lang w:val="en-US" w:eastAsia="zh-CN" w:bidi="ar-SA"/>
        </w:rPr>
        <w:t>以内</w:t>
      </w:r>
      <w:r>
        <w:rPr>
          <w:rFonts w:hint="eastAsia" w:ascii="仿宋_GB2312" w:hAnsi="仿宋_GB2312" w:eastAsia="仿宋_GB2312" w:cs="仿宋_GB2312"/>
          <w:color w:val="auto"/>
          <w:spacing w:val="1"/>
          <w:kern w:val="2"/>
          <w:sz w:val="32"/>
          <w:szCs w:val="32"/>
          <w:lang w:val="en-US" w:eastAsia="en-US" w:bidi="ar-SA"/>
        </w:rPr>
        <w:t>。做好散煤、烟花爆竹运输管控</w:t>
      </w:r>
      <w:r>
        <w:rPr>
          <w:rFonts w:hint="eastAsia" w:ascii="仿宋_GB2312" w:hAnsi="仿宋_GB2312" w:eastAsia="仿宋_GB2312" w:cs="仿宋_GB2312"/>
          <w:color w:val="auto"/>
          <w:spacing w:val="1"/>
          <w:kern w:val="2"/>
          <w:sz w:val="32"/>
          <w:szCs w:val="32"/>
          <w:lang w:val="en-US" w:eastAsia="zh-CN" w:bidi="ar-SA"/>
        </w:rPr>
        <w:t>工作</w:t>
      </w:r>
      <w:r>
        <w:rPr>
          <w:rFonts w:hint="eastAsia" w:ascii="仿宋_GB2312" w:hAnsi="仿宋_GB2312" w:eastAsia="仿宋_GB2312" w:cs="仿宋_GB2312"/>
          <w:color w:val="auto"/>
          <w:spacing w:val="1"/>
          <w:kern w:val="2"/>
          <w:sz w:val="32"/>
          <w:szCs w:val="32"/>
          <w:lang w:val="en-US" w:eastAsia="en-US" w:bidi="ar-SA"/>
        </w:rPr>
        <w:t>。按照</w:t>
      </w:r>
      <w:r>
        <w:rPr>
          <w:rFonts w:hint="eastAsia" w:ascii="仿宋_GB2312" w:hAnsi="仿宋_GB2312" w:eastAsia="仿宋_GB2312" w:cs="仿宋_GB2312"/>
          <w:color w:val="auto"/>
          <w:spacing w:val="1"/>
          <w:kern w:val="2"/>
          <w:sz w:val="32"/>
          <w:szCs w:val="32"/>
          <w:lang w:val="en-US" w:eastAsia="zh-CN" w:bidi="ar-SA"/>
        </w:rPr>
        <w:t>重污染天气应急预案要求</w:t>
      </w:r>
      <w:r>
        <w:rPr>
          <w:rFonts w:hint="eastAsia" w:ascii="仿宋_GB2312" w:hAnsi="仿宋_GB2312" w:eastAsia="仿宋_GB2312" w:cs="仿宋_GB2312"/>
          <w:color w:val="auto"/>
          <w:spacing w:val="1"/>
          <w:kern w:val="2"/>
          <w:sz w:val="32"/>
          <w:szCs w:val="32"/>
          <w:lang w:val="en-US" w:eastAsia="en-US" w:bidi="ar-SA"/>
        </w:rPr>
        <w:t>做好货车禁限行、绕城通行、应急运输管控等</w:t>
      </w:r>
      <w:r>
        <w:rPr>
          <w:rFonts w:hint="eastAsia" w:ascii="仿宋_GB2312" w:hAnsi="仿宋_GB2312" w:eastAsia="仿宋_GB2312" w:cs="仿宋_GB2312"/>
          <w:color w:val="auto"/>
          <w:spacing w:val="1"/>
          <w:kern w:val="2"/>
          <w:sz w:val="32"/>
          <w:szCs w:val="32"/>
          <w:lang w:val="en-US" w:eastAsia="zh-CN" w:bidi="ar-SA"/>
        </w:rPr>
        <w:t>工作</w:t>
      </w:r>
      <w:r>
        <w:rPr>
          <w:rFonts w:hint="eastAsia" w:ascii="仿宋_GB2312" w:hAnsi="仿宋_GB2312" w:eastAsia="仿宋_GB2312" w:cs="仿宋_GB2312"/>
          <w:color w:val="auto"/>
          <w:spacing w:val="1"/>
          <w:kern w:val="2"/>
          <w:sz w:val="32"/>
          <w:szCs w:val="32"/>
          <w:lang w:val="en-US" w:eastAsia="en-US" w:bidi="ar-SA"/>
        </w:rPr>
        <w:t>。（责任单位：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、公安</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、生态环境</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w:t>
      </w:r>
    </w:p>
    <w:p w14:paraId="0A6C7DDA">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0" w:firstLineChars="200"/>
        <w:jc w:val="left"/>
        <w:textAlignment w:val="auto"/>
        <w:outlineLvl w:val="2"/>
        <w:rPr>
          <w:rFonts w:hint="eastAsia" w:ascii="楷体" w:hAnsi="楷体" w:eastAsia="楷体" w:cs="仿宋"/>
          <w:color w:val="auto"/>
          <w:sz w:val="32"/>
          <w:szCs w:val="32"/>
          <w:lang w:val="en-US" w:eastAsia="zh-CN" w:bidi="ar-SA"/>
        </w:rPr>
      </w:pPr>
      <w:r>
        <w:rPr>
          <w:rFonts w:hint="eastAsia" w:ascii="楷体" w:hAnsi="楷体" w:eastAsia="楷体" w:cs="仿宋"/>
          <w:color w:val="auto"/>
          <w:sz w:val="32"/>
          <w:szCs w:val="32"/>
          <w:lang w:val="en-US" w:eastAsia="en-US" w:bidi="ar-SA"/>
        </w:rPr>
        <w:t>（</w:t>
      </w:r>
      <w:bookmarkStart w:id="8" w:name="（七）启动实施普通国省道穿城路段改造工程"/>
      <w:bookmarkEnd w:id="8"/>
      <w:r>
        <w:rPr>
          <w:rFonts w:hint="eastAsia" w:ascii="楷体" w:hAnsi="楷体" w:eastAsia="楷体" w:cs="仿宋"/>
          <w:color w:val="auto"/>
          <w:sz w:val="32"/>
          <w:szCs w:val="32"/>
          <w:lang w:val="en-US" w:eastAsia="zh-CN" w:bidi="ar-SA"/>
        </w:rPr>
        <w:t>六</w:t>
      </w:r>
      <w:r>
        <w:rPr>
          <w:rFonts w:hint="eastAsia" w:ascii="楷体" w:hAnsi="楷体" w:eastAsia="楷体" w:cs="仿宋"/>
          <w:color w:val="auto"/>
          <w:sz w:val="32"/>
          <w:szCs w:val="32"/>
          <w:lang w:val="en-US" w:eastAsia="en-US" w:bidi="ar-SA"/>
        </w:rPr>
        <w:t>）启动实施普通</w:t>
      </w:r>
      <w:r>
        <w:rPr>
          <w:rFonts w:hint="eastAsia" w:ascii="楷体" w:hAnsi="楷体" w:eastAsia="楷体" w:cs="仿宋"/>
          <w:color w:val="auto"/>
          <w:sz w:val="32"/>
          <w:szCs w:val="32"/>
          <w:lang w:val="en-US" w:eastAsia="zh-CN" w:bidi="ar-SA"/>
        </w:rPr>
        <w:t>干线公路</w:t>
      </w:r>
      <w:r>
        <w:rPr>
          <w:rFonts w:hint="eastAsia" w:ascii="楷体" w:hAnsi="楷体" w:eastAsia="楷体" w:cs="仿宋"/>
          <w:color w:val="auto"/>
          <w:sz w:val="32"/>
          <w:szCs w:val="32"/>
          <w:lang w:val="en-US" w:eastAsia="en-US" w:bidi="ar-SA"/>
        </w:rPr>
        <w:t>穿城路段改</w:t>
      </w:r>
      <w:r>
        <w:rPr>
          <w:rFonts w:hint="eastAsia" w:ascii="楷体" w:hAnsi="楷体" w:eastAsia="楷体" w:cs="仿宋"/>
          <w:color w:val="auto"/>
          <w:sz w:val="32"/>
          <w:szCs w:val="32"/>
          <w:lang w:val="en-US" w:eastAsia="zh-CN" w:bidi="ar-SA"/>
        </w:rPr>
        <w:t>建</w:t>
      </w:r>
      <w:r>
        <w:rPr>
          <w:rFonts w:hint="eastAsia" w:ascii="楷体" w:hAnsi="楷体" w:eastAsia="楷体" w:cs="仿宋"/>
          <w:color w:val="auto"/>
          <w:sz w:val="32"/>
          <w:szCs w:val="32"/>
          <w:lang w:val="en-US" w:eastAsia="en-US" w:bidi="ar-SA"/>
        </w:rPr>
        <w:t>工程</w:t>
      </w:r>
      <w:r>
        <w:rPr>
          <w:rFonts w:hint="eastAsia" w:ascii="楷体" w:hAnsi="楷体" w:eastAsia="楷体" w:cs="仿宋"/>
          <w:color w:val="auto"/>
          <w:sz w:val="32"/>
          <w:szCs w:val="32"/>
          <w:lang w:val="en-US" w:eastAsia="zh-CN" w:bidi="ar-SA"/>
        </w:rPr>
        <w:t>。</w:t>
      </w:r>
    </w:p>
    <w:p w14:paraId="681435CA">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en-US" w:bidi="ar-SA"/>
        </w:rPr>
        <w:t>坚持规划引领与工程改造并重、设施建设与管理优化协同，综合施策解决普通干线公路穿城问题。通过</w:t>
      </w:r>
      <w:r>
        <w:rPr>
          <w:rFonts w:hint="eastAsia" w:ascii="仿宋_GB2312" w:hAnsi="仿宋_GB2312" w:eastAsia="仿宋_GB2312" w:cs="仿宋_GB2312"/>
          <w:color w:val="auto"/>
          <w:spacing w:val="1"/>
          <w:kern w:val="2"/>
          <w:sz w:val="32"/>
          <w:szCs w:val="32"/>
          <w:lang w:val="en-US" w:eastAsia="zh-CN" w:bidi="ar-SA"/>
        </w:rPr>
        <w:t>调整我市路</w:t>
      </w:r>
      <w:r>
        <w:rPr>
          <w:rFonts w:hint="eastAsia" w:ascii="仿宋_GB2312" w:hAnsi="仿宋_GB2312" w:eastAsia="仿宋_GB2312" w:cs="仿宋_GB2312"/>
          <w:color w:val="auto"/>
          <w:spacing w:val="1"/>
          <w:kern w:val="2"/>
          <w:sz w:val="32"/>
          <w:szCs w:val="32"/>
          <w:lang w:val="en-US" w:eastAsia="en-US" w:bidi="ar-SA"/>
        </w:rPr>
        <w:t>网规划，将城区内约</w:t>
      </w:r>
      <w:r>
        <w:rPr>
          <w:rFonts w:hint="eastAsia" w:ascii="仿宋_GB2312" w:hAnsi="仿宋_GB2312" w:eastAsia="仿宋_GB2312" w:cs="仿宋_GB2312"/>
          <w:color w:val="auto"/>
          <w:spacing w:val="1"/>
          <w:kern w:val="2"/>
          <w:sz w:val="32"/>
          <w:szCs w:val="32"/>
          <w:lang w:val="en-US" w:eastAsia="zh-CN" w:bidi="ar-SA"/>
        </w:rPr>
        <w:t>40</w:t>
      </w:r>
      <w:r>
        <w:rPr>
          <w:rFonts w:hint="eastAsia" w:ascii="仿宋_GB2312" w:hAnsi="仿宋_GB2312" w:eastAsia="仿宋_GB2312" w:cs="仿宋_GB2312"/>
          <w:color w:val="auto"/>
          <w:spacing w:val="1"/>
          <w:kern w:val="2"/>
          <w:sz w:val="32"/>
          <w:szCs w:val="32"/>
          <w:lang w:val="en-US" w:eastAsia="en-US" w:bidi="ar-SA"/>
        </w:rPr>
        <w:t>公里的普通干线公路调整为城市道路。集中实施</w:t>
      </w:r>
      <w:r>
        <w:rPr>
          <w:rFonts w:hint="eastAsia" w:ascii="仿宋_GB2312" w:hAnsi="仿宋_GB2312" w:eastAsia="仿宋_GB2312" w:cs="仿宋_GB2312"/>
          <w:color w:val="auto"/>
          <w:spacing w:val="1"/>
          <w:kern w:val="2"/>
          <w:sz w:val="32"/>
          <w:szCs w:val="32"/>
          <w:lang w:val="en-US" w:eastAsia="zh-CN" w:bidi="ar-SA"/>
        </w:rPr>
        <w:t>S307新乡市城区段改建、S225延津县城区段改建、S227卫辉市城区段改建等</w:t>
      </w:r>
      <w:r>
        <w:rPr>
          <w:rFonts w:hint="eastAsia" w:ascii="仿宋_GB2312" w:hAnsi="仿宋_GB2312" w:eastAsia="仿宋_GB2312" w:cs="仿宋_GB2312"/>
          <w:color w:val="auto"/>
          <w:spacing w:val="1"/>
          <w:kern w:val="2"/>
          <w:sz w:val="32"/>
          <w:szCs w:val="32"/>
          <w:lang w:val="en-US" w:eastAsia="en-US" w:bidi="ar-SA"/>
        </w:rPr>
        <w:t>一批绕城</w:t>
      </w:r>
      <w:r>
        <w:rPr>
          <w:rFonts w:hint="eastAsia" w:ascii="仿宋_GB2312" w:hAnsi="仿宋_GB2312" w:eastAsia="仿宋_GB2312" w:cs="仿宋_GB2312"/>
          <w:color w:val="auto"/>
          <w:spacing w:val="1"/>
          <w:kern w:val="2"/>
          <w:sz w:val="32"/>
          <w:szCs w:val="32"/>
          <w:lang w:val="en-US" w:eastAsia="zh-CN" w:bidi="ar-SA"/>
        </w:rPr>
        <w:t>公路</w:t>
      </w:r>
      <w:r>
        <w:rPr>
          <w:rFonts w:hint="eastAsia" w:ascii="仿宋_GB2312" w:hAnsi="仿宋_GB2312" w:eastAsia="仿宋_GB2312" w:cs="仿宋_GB2312"/>
          <w:color w:val="auto"/>
          <w:spacing w:val="1"/>
          <w:kern w:val="2"/>
          <w:sz w:val="32"/>
          <w:szCs w:val="32"/>
          <w:lang w:val="en-US" w:eastAsia="en-US" w:bidi="ar-SA"/>
        </w:rPr>
        <w:t>新</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改建工程，总里程约</w:t>
      </w:r>
      <w:r>
        <w:rPr>
          <w:rFonts w:hint="eastAsia" w:ascii="仿宋_GB2312" w:hAnsi="仿宋_GB2312" w:eastAsia="仿宋_GB2312" w:cs="仿宋_GB2312"/>
          <w:color w:val="auto"/>
          <w:spacing w:val="1"/>
          <w:kern w:val="2"/>
          <w:sz w:val="32"/>
          <w:szCs w:val="32"/>
          <w:lang w:val="en-US" w:eastAsia="zh-CN" w:bidi="ar-SA"/>
        </w:rPr>
        <w:t>43</w:t>
      </w:r>
      <w:r>
        <w:rPr>
          <w:rFonts w:hint="eastAsia" w:ascii="仿宋_GB2312" w:hAnsi="仿宋_GB2312" w:eastAsia="仿宋_GB2312" w:cs="仿宋_GB2312"/>
          <w:color w:val="auto"/>
          <w:spacing w:val="1"/>
          <w:kern w:val="2"/>
          <w:sz w:val="32"/>
          <w:szCs w:val="32"/>
          <w:lang w:val="en-US" w:eastAsia="en-US" w:bidi="ar-SA"/>
        </w:rPr>
        <w:t>公里，</w:t>
      </w:r>
      <w:r>
        <w:rPr>
          <w:rFonts w:hint="eastAsia" w:ascii="仿宋_GB2312" w:hAnsi="仿宋_GB2312" w:eastAsia="仿宋_GB2312" w:cs="仿宋_GB2312"/>
          <w:color w:val="auto"/>
          <w:spacing w:val="1"/>
          <w:kern w:val="2"/>
          <w:sz w:val="32"/>
          <w:szCs w:val="32"/>
          <w:lang w:val="en-US" w:eastAsia="zh-CN" w:bidi="ar-SA"/>
        </w:rPr>
        <w:t>到</w:t>
      </w:r>
      <w:r>
        <w:rPr>
          <w:rFonts w:hint="eastAsia" w:ascii="仿宋_GB2312" w:hAnsi="仿宋_GB2312" w:eastAsia="仿宋_GB2312" w:cs="仿宋_GB2312"/>
          <w:color w:val="auto"/>
          <w:spacing w:val="1"/>
          <w:kern w:val="2"/>
          <w:sz w:val="32"/>
          <w:szCs w:val="32"/>
          <w:lang w:val="en-US" w:eastAsia="en-US" w:bidi="ar-SA"/>
        </w:rPr>
        <w:t>2028年基本解决</w:t>
      </w:r>
      <w:r>
        <w:rPr>
          <w:rFonts w:hint="eastAsia" w:ascii="仿宋_GB2312" w:hAnsi="仿宋_GB2312" w:eastAsia="仿宋_GB2312" w:cs="仿宋_GB2312"/>
          <w:color w:val="auto"/>
          <w:spacing w:val="1"/>
          <w:kern w:val="2"/>
          <w:sz w:val="32"/>
          <w:szCs w:val="32"/>
          <w:lang w:val="en-US" w:eastAsia="zh-CN" w:bidi="ar-SA"/>
        </w:rPr>
        <w:t>货车</w:t>
      </w:r>
      <w:r>
        <w:rPr>
          <w:rFonts w:hint="eastAsia" w:ascii="仿宋_GB2312" w:hAnsi="仿宋_GB2312" w:eastAsia="仿宋_GB2312" w:cs="仿宋_GB2312"/>
          <w:color w:val="auto"/>
          <w:spacing w:val="1"/>
          <w:kern w:val="2"/>
          <w:sz w:val="32"/>
          <w:szCs w:val="32"/>
          <w:lang w:val="en-US" w:eastAsia="en-US" w:bidi="ar-SA"/>
        </w:rPr>
        <w:t>穿城问题，实现营运货车绕城通行。强化疏堵结合，公安、生态环境等部门</w:t>
      </w:r>
      <w:r>
        <w:rPr>
          <w:rFonts w:hint="eastAsia" w:ascii="仿宋_GB2312" w:hAnsi="仿宋_GB2312" w:eastAsia="仿宋_GB2312" w:cs="仿宋_GB2312"/>
          <w:color w:val="auto"/>
          <w:spacing w:val="1"/>
          <w:kern w:val="2"/>
          <w:sz w:val="32"/>
          <w:szCs w:val="32"/>
          <w:lang w:val="en-US" w:eastAsia="zh-CN" w:bidi="ar-SA"/>
        </w:rPr>
        <w:t>要</w:t>
      </w:r>
      <w:r>
        <w:rPr>
          <w:rFonts w:hint="eastAsia" w:ascii="仿宋_GB2312" w:hAnsi="仿宋_GB2312" w:eastAsia="仿宋_GB2312" w:cs="仿宋_GB2312"/>
          <w:color w:val="auto"/>
          <w:spacing w:val="1"/>
          <w:kern w:val="2"/>
          <w:sz w:val="32"/>
          <w:szCs w:val="32"/>
          <w:lang w:val="en-US" w:eastAsia="en-US" w:bidi="ar-SA"/>
        </w:rPr>
        <w:t>引导过境货车快速绕行。</w:t>
      </w:r>
      <w:r>
        <w:rPr>
          <w:rFonts w:hint="eastAsia" w:ascii="仿宋_GB2312" w:hAnsi="仿宋_GB2312" w:eastAsia="仿宋_GB2312" w:cs="仿宋_GB2312"/>
          <w:color w:val="auto"/>
          <w:spacing w:val="1"/>
          <w:kern w:val="2"/>
          <w:sz w:val="32"/>
          <w:szCs w:val="32"/>
          <w:lang w:val="en-US" w:eastAsia="zh-CN" w:bidi="ar-SA"/>
        </w:rPr>
        <w:t>鼓励</w:t>
      </w:r>
      <w:r>
        <w:rPr>
          <w:rFonts w:hint="eastAsia" w:ascii="仿宋_GB2312" w:hAnsi="仿宋_GB2312" w:eastAsia="仿宋_GB2312" w:cs="仿宋_GB2312"/>
          <w:color w:val="auto"/>
          <w:spacing w:val="1"/>
          <w:kern w:val="2"/>
          <w:sz w:val="32"/>
          <w:szCs w:val="32"/>
          <w:lang w:val="en-US" w:eastAsia="en-US" w:bidi="ar-SA"/>
        </w:rPr>
        <w:t>在城市周边布局物流分拨中心，进城货物由新能源</w:t>
      </w:r>
      <w:r>
        <w:rPr>
          <w:rFonts w:hint="eastAsia" w:ascii="仿宋_GB2312" w:hAnsi="仿宋_GB2312" w:eastAsia="仿宋_GB2312" w:cs="仿宋_GB2312"/>
          <w:color w:val="auto"/>
          <w:spacing w:val="1"/>
          <w:kern w:val="2"/>
          <w:sz w:val="32"/>
          <w:szCs w:val="32"/>
          <w:lang w:val="en-US" w:eastAsia="zh-CN" w:bidi="ar-SA"/>
        </w:rPr>
        <w:t>营运</w:t>
      </w:r>
      <w:r>
        <w:rPr>
          <w:rFonts w:hint="eastAsia" w:ascii="仿宋_GB2312" w:hAnsi="仿宋_GB2312" w:eastAsia="仿宋_GB2312" w:cs="仿宋_GB2312"/>
          <w:color w:val="auto"/>
          <w:spacing w:val="1"/>
          <w:kern w:val="2"/>
          <w:sz w:val="32"/>
          <w:szCs w:val="32"/>
          <w:lang w:val="en-US" w:eastAsia="en-US" w:bidi="ar-SA"/>
        </w:rPr>
        <w:t>货车进行接驳、转运，实现城市内外货运物流无缝衔接，保障供应链稳定畅通。（责任单位：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、公安</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、生态环境</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、资源规划局）</w:t>
      </w:r>
    </w:p>
    <w:p w14:paraId="4C9CA084">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0" w:firstLineChars="200"/>
        <w:jc w:val="left"/>
        <w:textAlignment w:val="auto"/>
        <w:outlineLvl w:val="2"/>
        <w:rPr>
          <w:rFonts w:hint="eastAsia" w:ascii="楷体" w:hAnsi="楷体" w:eastAsia="楷体" w:cs="仿宋"/>
          <w:color w:val="auto"/>
          <w:sz w:val="32"/>
          <w:szCs w:val="32"/>
          <w:lang w:val="en-US" w:eastAsia="zh-CN" w:bidi="ar-SA"/>
        </w:rPr>
      </w:pPr>
      <w:r>
        <w:rPr>
          <w:rFonts w:hint="eastAsia" w:ascii="楷体" w:hAnsi="楷体" w:eastAsia="楷体" w:cs="仿宋"/>
          <w:color w:val="auto"/>
          <w:sz w:val="32"/>
          <w:szCs w:val="32"/>
          <w:lang w:val="en-US" w:eastAsia="en-US" w:bidi="ar-SA"/>
        </w:rPr>
        <w:t>（</w:t>
      </w:r>
      <w:bookmarkStart w:id="9" w:name="（八）加快完善激励政策措施"/>
      <w:bookmarkEnd w:id="9"/>
      <w:r>
        <w:rPr>
          <w:rFonts w:hint="eastAsia" w:ascii="楷体" w:hAnsi="楷体" w:eastAsia="楷体" w:cs="仿宋"/>
          <w:color w:val="auto"/>
          <w:sz w:val="32"/>
          <w:szCs w:val="32"/>
          <w:lang w:val="en-US" w:eastAsia="zh-CN" w:bidi="ar-SA"/>
        </w:rPr>
        <w:t>七</w:t>
      </w:r>
      <w:r>
        <w:rPr>
          <w:rFonts w:hint="eastAsia" w:ascii="楷体" w:hAnsi="楷体" w:eastAsia="楷体" w:cs="仿宋"/>
          <w:color w:val="auto"/>
          <w:sz w:val="32"/>
          <w:szCs w:val="32"/>
          <w:lang w:val="en-US" w:eastAsia="en-US" w:bidi="ar-SA"/>
        </w:rPr>
        <w:t>）加快完善激励政策措施</w:t>
      </w:r>
      <w:r>
        <w:rPr>
          <w:rFonts w:hint="eastAsia" w:ascii="楷体" w:hAnsi="楷体" w:eastAsia="楷体" w:cs="仿宋"/>
          <w:color w:val="auto"/>
          <w:sz w:val="32"/>
          <w:szCs w:val="32"/>
          <w:lang w:val="en-US" w:eastAsia="zh-CN" w:bidi="ar-SA"/>
        </w:rPr>
        <w:t>。</w:t>
      </w:r>
    </w:p>
    <w:p w14:paraId="026F1892">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1.</w:t>
      </w:r>
      <w:r>
        <w:rPr>
          <w:rFonts w:hint="eastAsia" w:ascii="仿宋_GB2312" w:hAnsi="仿宋_GB2312" w:eastAsia="仿宋_GB2312" w:cs="仿宋_GB2312"/>
          <w:color w:val="auto"/>
          <w:spacing w:val="1"/>
          <w:kern w:val="2"/>
          <w:sz w:val="32"/>
          <w:szCs w:val="32"/>
          <w:lang w:val="en-US" w:eastAsia="en-US" w:bidi="ar-SA"/>
        </w:rPr>
        <w:t>加大新能源营运货车购置补贴力度</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对政策实施期间（2026-2027年）更新新能源营运货车的道路货运经营者，在国家“两新”政策支持基础上，按照“先到先得、资金用完为止”和“早换早补、逐年退坡”原则给予</w:t>
      </w:r>
      <w:r>
        <w:rPr>
          <w:rFonts w:hint="eastAsia" w:ascii="仿宋_GB2312" w:hAnsi="仿宋_GB2312" w:eastAsia="仿宋_GB2312" w:cs="仿宋_GB2312"/>
          <w:color w:val="auto"/>
          <w:spacing w:val="1"/>
          <w:kern w:val="2"/>
          <w:sz w:val="32"/>
          <w:szCs w:val="32"/>
          <w:lang w:val="en-US" w:eastAsia="zh-CN" w:bidi="ar-SA"/>
        </w:rPr>
        <w:t>省级</w:t>
      </w:r>
      <w:r>
        <w:rPr>
          <w:rFonts w:hint="eastAsia" w:ascii="仿宋_GB2312" w:hAnsi="仿宋_GB2312" w:eastAsia="仿宋_GB2312" w:cs="仿宋_GB2312"/>
          <w:color w:val="auto"/>
          <w:spacing w:val="1"/>
          <w:kern w:val="2"/>
          <w:sz w:val="32"/>
          <w:szCs w:val="32"/>
          <w:lang w:val="en-US" w:eastAsia="en-US" w:bidi="ar-SA"/>
        </w:rPr>
        <w:t>补贴。（责任单位：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、财政</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、生态环境</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w:t>
      </w:r>
    </w:p>
    <w:p w14:paraId="26126A19">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2.继续</w:t>
      </w:r>
      <w:r>
        <w:rPr>
          <w:rFonts w:hint="eastAsia" w:ascii="仿宋_GB2312" w:hAnsi="仿宋_GB2312" w:eastAsia="仿宋_GB2312" w:cs="仿宋_GB2312"/>
          <w:color w:val="auto"/>
          <w:spacing w:val="1"/>
          <w:kern w:val="2"/>
          <w:sz w:val="32"/>
          <w:szCs w:val="32"/>
          <w:lang w:val="en-US" w:eastAsia="en-US" w:bidi="ar-SA"/>
        </w:rPr>
        <w:t>实施新能源</w:t>
      </w:r>
      <w:r>
        <w:rPr>
          <w:rFonts w:hint="eastAsia" w:ascii="仿宋_GB2312" w:hAnsi="仿宋_GB2312" w:eastAsia="仿宋_GB2312" w:cs="仿宋_GB2312"/>
          <w:color w:val="auto"/>
          <w:spacing w:val="1"/>
          <w:kern w:val="2"/>
          <w:sz w:val="32"/>
          <w:szCs w:val="32"/>
          <w:lang w:val="en-US" w:eastAsia="zh-CN" w:bidi="ar-SA"/>
        </w:rPr>
        <w:t>货车</w:t>
      </w:r>
      <w:r>
        <w:rPr>
          <w:rFonts w:hint="eastAsia" w:ascii="仿宋_GB2312" w:hAnsi="仿宋_GB2312" w:eastAsia="仿宋_GB2312" w:cs="仿宋_GB2312"/>
          <w:color w:val="auto"/>
          <w:spacing w:val="1"/>
          <w:kern w:val="2"/>
          <w:sz w:val="32"/>
          <w:szCs w:val="32"/>
          <w:lang w:val="en-US" w:eastAsia="en-US" w:bidi="ar-SA"/>
        </w:rPr>
        <w:t>通行</w:t>
      </w:r>
      <w:r>
        <w:rPr>
          <w:rFonts w:hint="eastAsia" w:ascii="仿宋_GB2312" w:hAnsi="仿宋_GB2312" w:eastAsia="仿宋_GB2312" w:cs="仿宋_GB2312"/>
          <w:color w:val="auto"/>
          <w:spacing w:val="1"/>
          <w:kern w:val="2"/>
          <w:sz w:val="32"/>
          <w:szCs w:val="32"/>
          <w:lang w:val="en-US" w:eastAsia="zh-CN" w:bidi="ar-SA"/>
        </w:rPr>
        <w:t>费</w:t>
      </w:r>
      <w:r>
        <w:rPr>
          <w:rFonts w:hint="eastAsia" w:ascii="仿宋_GB2312" w:hAnsi="仿宋_GB2312" w:eastAsia="仿宋_GB2312" w:cs="仿宋_GB2312"/>
          <w:color w:val="auto"/>
          <w:spacing w:val="1"/>
          <w:kern w:val="2"/>
          <w:sz w:val="32"/>
          <w:szCs w:val="32"/>
          <w:lang w:val="en-US" w:eastAsia="en-US" w:bidi="ar-SA"/>
        </w:rPr>
        <w:t>优惠政策</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对氢能货车免收通行费、电动货车</w:t>
      </w:r>
      <w:r>
        <w:rPr>
          <w:rFonts w:hint="eastAsia" w:ascii="仿宋_GB2312" w:hAnsi="仿宋_GB2312" w:eastAsia="仿宋_GB2312" w:cs="仿宋_GB2312"/>
          <w:color w:val="auto"/>
          <w:spacing w:val="1"/>
          <w:kern w:val="2"/>
          <w:sz w:val="32"/>
          <w:szCs w:val="32"/>
          <w:lang w:val="en-US" w:eastAsia="zh-CN" w:bidi="ar-SA"/>
        </w:rPr>
        <w:t>实行</w:t>
      </w:r>
      <w:r>
        <w:rPr>
          <w:rFonts w:hint="eastAsia" w:ascii="仿宋_GB2312" w:hAnsi="仿宋_GB2312" w:eastAsia="仿宋_GB2312" w:cs="仿宋_GB2312"/>
          <w:color w:val="auto"/>
          <w:spacing w:val="1"/>
          <w:kern w:val="2"/>
          <w:sz w:val="32"/>
          <w:szCs w:val="32"/>
          <w:lang w:val="en-US" w:eastAsia="en-US" w:bidi="ar-SA"/>
        </w:rPr>
        <w:t>通行费五折优惠。（责任单位：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w:t>
      </w:r>
    </w:p>
    <w:p w14:paraId="2DA5871F">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en-US" w:bidi="ar-SA"/>
        </w:rPr>
      </w:pPr>
      <w:r>
        <w:rPr>
          <w:rFonts w:hint="eastAsia" w:ascii="仿宋_GB2312" w:hAnsi="仿宋_GB2312" w:eastAsia="仿宋_GB2312" w:cs="仿宋_GB2312"/>
          <w:color w:val="auto"/>
          <w:spacing w:val="1"/>
          <w:kern w:val="2"/>
          <w:sz w:val="32"/>
          <w:szCs w:val="32"/>
          <w:lang w:val="en-US" w:eastAsia="zh-CN" w:bidi="ar-SA"/>
        </w:rPr>
        <w:t>3.充分利用</w:t>
      </w:r>
      <w:r>
        <w:rPr>
          <w:rFonts w:hint="eastAsia" w:ascii="仿宋_GB2312" w:hAnsi="仿宋_GB2312" w:eastAsia="仿宋_GB2312" w:cs="仿宋_GB2312"/>
          <w:color w:val="auto"/>
          <w:spacing w:val="1"/>
          <w:kern w:val="2"/>
          <w:sz w:val="32"/>
          <w:szCs w:val="32"/>
          <w:lang w:val="en-US" w:eastAsia="en-US" w:bidi="ar-SA"/>
        </w:rPr>
        <w:t>“公转铁”</w:t>
      </w:r>
      <w:r>
        <w:rPr>
          <w:rFonts w:hint="eastAsia" w:ascii="仿宋_GB2312" w:hAnsi="仿宋_GB2312" w:eastAsia="仿宋_GB2312" w:cs="仿宋_GB2312"/>
          <w:color w:val="auto"/>
          <w:spacing w:val="1"/>
          <w:kern w:val="2"/>
          <w:sz w:val="32"/>
          <w:szCs w:val="32"/>
          <w:lang w:val="en-US" w:eastAsia="zh-CN" w:bidi="ar-SA"/>
        </w:rPr>
        <w:t>激励政策</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持续提升我市</w:t>
      </w:r>
      <w:r>
        <w:rPr>
          <w:rFonts w:hint="eastAsia" w:ascii="仿宋_GB2312" w:hAnsi="仿宋_GB2312" w:eastAsia="仿宋_GB2312" w:cs="仿宋_GB2312"/>
          <w:color w:val="auto"/>
          <w:spacing w:val="1"/>
          <w:kern w:val="2"/>
          <w:sz w:val="32"/>
          <w:szCs w:val="32"/>
          <w:lang w:val="en-US" w:eastAsia="en-US" w:bidi="ar-SA"/>
        </w:rPr>
        <w:t>铁路货运</w:t>
      </w:r>
      <w:r>
        <w:rPr>
          <w:rFonts w:hint="eastAsia" w:ascii="仿宋_GB2312" w:hAnsi="仿宋_GB2312" w:eastAsia="仿宋_GB2312" w:cs="仿宋_GB2312"/>
          <w:color w:val="auto"/>
          <w:spacing w:val="1"/>
          <w:kern w:val="2"/>
          <w:sz w:val="32"/>
          <w:szCs w:val="32"/>
          <w:lang w:val="en-US" w:eastAsia="zh-CN" w:bidi="ar-SA"/>
        </w:rPr>
        <w:t>量。争取省级</w:t>
      </w:r>
      <w:r>
        <w:rPr>
          <w:rFonts w:hint="eastAsia" w:ascii="仿宋_GB2312" w:hAnsi="仿宋_GB2312" w:eastAsia="仿宋_GB2312" w:cs="仿宋_GB2312"/>
          <w:color w:val="auto"/>
          <w:spacing w:val="1"/>
          <w:kern w:val="2"/>
          <w:sz w:val="32"/>
          <w:szCs w:val="32"/>
          <w:lang w:val="en-US" w:eastAsia="en-US" w:bidi="ar-SA"/>
        </w:rPr>
        <w:t>绩效激励</w:t>
      </w:r>
      <w:r>
        <w:rPr>
          <w:rFonts w:hint="eastAsia" w:ascii="仿宋_GB2312" w:hAnsi="仿宋_GB2312" w:eastAsia="仿宋_GB2312" w:cs="仿宋_GB2312"/>
          <w:color w:val="auto"/>
          <w:spacing w:val="1"/>
          <w:kern w:val="2"/>
          <w:sz w:val="32"/>
          <w:szCs w:val="32"/>
          <w:lang w:val="en-US" w:eastAsia="zh-CN" w:bidi="ar-SA"/>
        </w:rPr>
        <w:t>资金，统筹用于“公转铁”。</w:t>
      </w:r>
      <w:r>
        <w:rPr>
          <w:rFonts w:hint="eastAsia" w:ascii="仿宋_GB2312" w:hAnsi="仿宋_GB2312" w:eastAsia="仿宋_GB2312" w:cs="仿宋_GB2312"/>
          <w:color w:val="auto"/>
          <w:spacing w:val="1"/>
          <w:kern w:val="2"/>
          <w:sz w:val="32"/>
          <w:szCs w:val="32"/>
          <w:lang w:val="en-US" w:eastAsia="en-US" w:bidi="ar-SA"/>
        </w:rPr>
        <w:t>（责任单位：</w:t>
      </w:r>
      <w:r>
        <w:rPr>
          <w:rFonts w:hint="eastAsia" w:ascii="仿宋_GB2312" w:hAnsi="仿宋_GB2312" w:eastAsia="仿宋_GB2312" w:cs="仿宋_GB2312"/>
          <w:color w:val="auto"/>
          <w:spacing w:val="1"/>
          <w:kern w:val="2"/>
          <w:sz w:val="32"/>
          <w:szCs w:val="32"/>
          <w:lang w:val="en-US" w:eastAsia="zh-CN" w:bidi="ar-SA"/>
        </w:rPr>
        <w:t>市</w:t>
      </w:r>
      <w:r>
        <w:rPr>
          <w:rFonts w:hint="eastAsia" w:ascii="仿宋_GB2312" w:hAnsi="仿宋_GB2312" w:eastAsia="仿宋_GB2312" w:cs="仿宋_GB2312"/>
          <w:color w:val="auto"/>
          <w:spacing w:val="1"/>
          <w:kern w:val="2"/>
          <w:sz w:val="32"/>
          <w:szCs w:val="32"/>
          <w:lang w:val="en-US" w:eastAsia="en-US" w:bidi="ar-SA"/>
        </w:rPr>
        <w:t>交通运输</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、财政</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、发展改革委、生态环境</w:t>
      </w:r>
      <w:r>
        <w:rPr>
          <w:rFonts w:hint="eastAsia" w:ascii="仿宋_GB2312" w:hAnsi="仿宋_GB2312" w:eastAsia="仿宋_GB2312" w:cs="仿宋_GB2312"/>
          <w:color w:val="auto"/>
          <w:spacing w:val="1"/>
          <w:kern w:val="2"/>
          <w:sz w:val="32"/>
          <w:szCs w:val="32"/>
          <w:lang w:val="en-US" w:eastAsia="zh-CN" w:bidi="ar-SA"/>
        </w:rPr>
        <w:t>局</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郑州铁路物流中心</w:t>
      </w:r>
      <w:r>
        <w:rPr>
          <w:rFonts w:hint="eastAsia" w:ascii="仿宋_GB2312" w:hAnsi="仿宋_GB2312" w:eastAsia="仿宋_GB2312" w:cs="仿宋_GB2312"/>
          <w:color w:val="auto"/>
          <w:spacing w:val="1"/>
          <w:kern w:val="2"/>
          <w:sz w:val="32"/>
          <w:szCs w:val="32"/>
          <w:lang w:val="en-US" w:eastAsia="en-US" w:bidi="ar-SA"/>
        </w:rPr>
        <w:t>）</w:t>
      </w:r>
    </w:p>
    <w:p w14:paraId="6192F9ED">
      <w:pPr>
        <w:keepNext w:val="0"/>
        <w:keepLines w:val="0"/>
        <w:pageBreakBefore w:val="0"/>
        <w:widowControl w:val="0"/>
        <w:kinsoku/>
        <w:wordWrap/>
        <w:overflowPunct/>
        <w:topLinePunct w:val="0"/>
        <w:autoSpaceDE w:val="0"/>
        <w:autoSpaceDN w:val="0"/>
        <w:bidi w:val="0"/>
        <w:adjustRightInd/>
        <w:snapToGrid/>
        <w:spacing w:before="6" w:after="0" w:line="580" w:lineRule="exact"/>
        <w:ind w:right="0" w:firstLine="640" w:firstLineChars="200"/>
        <w:jc w:val="left"/>
        <w:textAlignment w:val="auto"/>
        <w:outlineLvl w:val="1"/>
        <w:rPr>
          <w:rFonts w:hint="eastAsia" w:ascii="黑体" w:hAnsi="仿宋" w:eastAsia="黑体" w:cs="仿宋"/>
          <w:color w:val="auto"/>
          <w:sz w:val="32"/>
          <w:szCs w:val="32"/>
          <w:lang w:val="en-US" w:eastAsia="en-US" w:bidi="ar-SA"/>
        </w:rPr>
      </w:pPr>
      <w:bookmarkStart w:id="10" w:name="三、保障措施"/>
      <w:bookmarkEnd w:id="10"/>
      <w:r>
        <w:rPr>
          <w:rFonts w:hint="eastAsia" w:ascii="黑体" w:hAnsi="仿宋" w:eastAsia="黑体" w:cs="仿宋"/>
          <w:color w:val="auto"/>
          <w:sz w:val="32"/>
          <w:szCs w:val="32"/>
          <w:lang w:val="en-US" w:eastAsia="en-US" w:bidi="ar-SA"/>
        </w:rPr>
        <w:t>三、保障措施</w:t>
      </w:r>
    </w:p>
    <w:p w14:paraId="6F0ED74C">
      <w:pPr>
        <w:keepNext w:val="0"/>
        <w:keepLines w:val="0"/>
        <w:pageBreakBefore w:val="0"/>
        <w:widowControl w:val="0"/>
        <w:kinsoku/>
        <w:wordWrap/>
        <w:overflowPunct/>
        <w:topLinePunct w:val="0"/>
        <w:autoSpaceDE w:val="0"/>
        <w:autoSpaceDN w:val="0"/>
        <w:bidi w:val="0"/>
        <w:adjustRightInd/>
        <w:snapToGrid/>
        <w:spacing w:before="0" w:after="0" w:line="580" w:lineRule="exact"/>
        <w:ind w:left="0" w:right="0" w:firstLine="644" w:firstLineChars="200"/>
        <w:jc w:val="both"/>
        <w:textAlignment w:val="auto"/>
        <w:rPr>
          <w:rFonts w:hint="eastAsia" w:ascii="仿宋_GB2312" w:hAnsi="仿宋_GB2312" w:eastAsia="仿宋_GB2312" w:cs="仿宋_GB2312"/>
          <w:color w:val="auto"/>
          <w:spacing w:val="1"/>
          <w:kern w:val="2"/>
          <w:sz w:val="32"/>
          <w:szCs w:val="32"/>
          <w:lang w:val="en-US" w:eastAsia="zh-CN" w:bidi="ar-SA"/>
        </w:rPr>
      </w:pPr>
      <w:r>
        <w:rPr>
          <w:rFonts w:hint="eastAsia" w:ascii="仿宋_GB2312" w:hAnsi="仿宋_GB2312" w:eastAsia="仿宋_GB2312" w:cs="仿宋_GB2312"/>
          <w:color w:val="auto"/>
          <w:spacing w:val="1"/>
          <w:kern w:val="2"/>
          <w:sz w:val="32"/>
          <w:szCs w:val="32"/>
          <w:lang w:val="en-US" w:eastAsia="en-US" w:bidi="ar-SA"/>
        </w:rPr>
        <w:t>一是健全</w:t>
      </w:r>
      <w:r>
        <w:rPr>
          <w:rFonts w:hint="eastAsia" w:ascii="仿宋_GB2312" w:hAnsi="仿宋_GB2312" w:eastAsia="仿宋_GB2312" w:cs="仿宋_GB2312"/>
          <w:color w:val="auto"/>
          <w:spacing w:val="1"/>
          <w:kern w:val="2"/>
          <w:sz w:val="32"/>
          <w:szCs w:val="32"/>
          <w:lang w:val="en-US" w:eastAsia="zh-CN" w:bidi="ar-SA"/>
        </w:rPr>
        <w:t>工作</w:t>
      </w:r>
      <w:r>
        <w:rPr>
          <w:rFonts w:hint="eastAsia" w:ascii="仿宋_GB2312" w:hAnsi="仿宋_GB2312" w:eastAsia="仿宋_GB2312" w:cs="仿宋_GB2312"/>
          <w:color w:val="auto"/>
          <w:spacing w:val="1"/>
          <w:kern w:val="2"/>
          <w:sz w:val="32"/>
          <w:szCs w:val="32"/>
          <w:lang w:val="en-US" w:eastAsia="en-US" w:bidi="ar-SA"/>
        </w:rPr>
        <w:t>机制。</w:t>
      </w:r>
      <w:r>
        <w:rPr>
          <w:rFonts w:hint="eastAsia" w:ascii="仿宋_GB2312" w:hAnsi="仿宋_GB2312" w:eastAsia="仿宋_GB2312" w:cs="仿宋_GB2312"/>
          <w:color w:val="auto"/>
          <w:spacing w:val="1"/>
          <w:kern w:val="2"/>
          <w:sz w:val="32"/>
          <w:szCs w:val="32"/>
          <w:lang w:val="en-US" w:eastAsia="zh-CN" w:bidi="ar-SA"/>
        </w:rPr>
        <w:t>建立工作推进协调机制</w:t>
      </w:r>
      <w:r>
        <w:rPr>
          <w:rFonts w:hint="eastAsia" w:ascii="仿宋_GB2312" w:hAnsi="仿宋_GB2312" w:eastAsia="仿宋_GB2312" w:cs="仿宋_GB2312"/>
          <w:color w:val="auto"/>
          <w:spacing w:val="1"/>
          <w:kern w:val="2"/>
          <w:sz w:val="32"/>
          <w:szCs w:val="32"/>
          <w:lang w:val="en-US" w:eastAsia="en-US" w:bidi="ar-SA"/>
        </w:rPr>
        <w:t>，研判分析形势、通报情况和研究解决重点</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难点问题，按照法</w:t>
      </w:r>
      <w:r>
        <w:rPr>
          <w:rFonts w:hint="eastAsia" w:ascii="仿宋_GB2312" w:hAnsi="仿宋_GB2312" w:eastAsia="仿宋_GB2312" w:cs="仿宋_GB2312"/>
          <w:color w:val="auto"/>
          <w:spacing w:val="1"/>
          <w:kern w:val="2"/>
          <w:sz w:val="32"/>
          <w:szCs w:val="32"/>
          <w:lang w:val="en-US" w:eastAsia="zh-CN" w:bidi="ar-SA"/>
        </w:rPr>
        <w:t>治</w:t>
      </w:r>
      <w:r>
        <w:rPr>
          <w:rFonts w:hint="eastAsia" w:ascii="仿宋_GB2312" w:hAnsi="仿宋_GB2312" w:eastAsia="仿宋_GB2312" w:cs="仿宋_GB2312"/>
          <w:color w:val="auto"/>
          <w:spacing w:val="1"/>
          <w:kern w:val="2"/>
          <w:sz w:val="32"/>
          <w:szCs w:val="32"/>
          <w:lang w:val="en-US" w:eastAsia="en-US" w:bidi="ar-SA"/>
        </w:rPr>
        <w:t>化、市场化原则积极稳妥推进各项措施落</w:t>
      </w:r>
      <w:r>
        <w:rPr>
          <w:rFonts w:hint="eastAsia" w:ascii="仿宋_GB2312" w:hAnsi="仿宋_GB2312" w:eastAsia="仿宋_GB2312" w:cs="仿宋_GB2312"/>
          <w:color w:val="auto"/>
          <w:spacing w:val="1"/>
          <w:kern w:val="2"/>
          <w:sz w:val="32"/>
          <w:szCs w:val="32"/>
          <w:lang w:val="en-US" w:eastAsia="zh-CN" w:bidi="ar-SA"/>
        </w:rPr>
        <w:t>实</w:t>
      </w:r>
      <w:r>
        <w:rPr>
          <w:rFonts w:hint="eastAsia" w:ascii="仿宋_GB2312" w:hAnsi="仿宋_GB2312" w:eastAsia="仿宋_GB2312" w:cs="仿宋_GB2312"/>
          <w:color w:val="auto"/>
          <w:spacing w:val="1"/>
          <w:kern w:val="2"/>
          <w:sz w:val="32"/>
          <w:szCs w:val="32"/>
          <w:lang w:val="en-US" w:eastAsia="en-US" w:bidi="ar-SA"/>
        </w:rPr>
        <w:t>。二是用足用好政策。各</w:t>
      </w:r>
      <w:r>
        <w:rPr>
          <w:rFonts w:hint="eastAsia" w:ascii="仿宋_GB2312" w:hAnsi="仿宋_GB2312" w:eastAsia="仿宋_GB2312" w:cs="仿宋_GB2312"/>
          <w:color w:val="auto"/>
          <w:spacing w:val="1"/>
          <w:kern w:val="2"/>
          <w:sz w:val="32"/>
          <w:szCs w:val="32"/>
          <w:lang w:val="en-US" w:eastAsia="zh-CN" w:bidi="ar-SA"/>
        </w:rPr>
        <w:t>县（市、区）、市直</w:t>
      </w:r>
      <w:r>
        <w:rPr>
          <w:rFonts w:hint="eastAsia" w:ascii="仿宋_GB2312" w:hAnsi="仿宋_GB2312" w:eastAsia="仿宋_GB2312" w:cs="仿宋_GB2312"/>
          <w:color w:val="auto"/>
          <w:spacing w:val="1"/>
          <w:kern w:val="2"/>
          <w:sz w:val="32"/>
          <w:szCs w:val="32"/>
          <w:lang w:val="en-US" w:eastAsia="en-US" w:bidi="ar-SA"/>
        </w:rPr>
        <w:t>单位要积极争取中央</w:t>
      </w:r>
      <w:r>
        <w:rPr>
          <w:rFonts w:hint="eastAsia" w:ascii="仿宋_GB2312" w:hAnsi="仿宋_GB2312" w:eastAsia="仿宋_GB2312" w:cs="仿宋_GB2312"/>
          <w:color w:val="auto"/>
          <w:spacing w:val="1"/>
          <w:kern w:val="2"/>
          <w:sz w:val="32"/>
          <w:szCs w:val="32"/>
          <w:lang w:val="en-US" w:eastAsia="zh-CN" w:bidi="ar-SA"/>
        </w:rPr>
        <w:t>、省级</w:t>
      </w:r>
      <w:r>
        <w:rPr>
          <w:rFonts w:hint="eastAsia" w:ascii="仿宋_GB2312" w:hAnsi="仿宋_GB2312" w:eastAsia="仿宋_GB2312" w:cs="仿宋_GB2312"/>
          <w:color w:val="auto"/>
          <w:spacing w:val="1"/>
          <w:kern w:val="2"/>
          <w:sz w:val="32"/>
          <w:szCs w:val="32"/>
          <w:lang w:val="en-US" w:eastAsia="en-US" w:bidi="ar-SA"/>
        </w:rPr>
        <w:t>财政资金支持</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探索建立多元化投融资机制，鼓励社会资本参与绿色交通项目建设</w:t>
      </w:r>
      <w:r>
        <w:rPr>
          <w:rFonts w:hint="eastAsia" w:ascii="仿宋_GB2312" w:hAnsi="仿宋_GB2312" w:eastAsia="仿宋_GB2312" w:cs="仿宋_GB2312"/>
          <w:color w:val="auto"/>
          <w:spacing w:val="1"/>
          <w:kern w:val="2"/>
          <w:sz w:val="32"/>
          <w:szCs w:val="32"/>
          <w:lang w:val="en-US" w:eastAsia="zh-CN" w:bidi="ar-SA"/>
        </w:rPr>
        <w:t>。</w:t>
      </w:r>
      <w:r>
        <w:rPr>
          <w:rFonts w:hint="eastAsia" w:ascii="仿宋_GB2312" w:hAnsi="仿宋_GB2312" w:eastAsia="仿宋_GB2312" w:cs="仿宋_GB2312"/>
          <w:color w:val="auto"/>
          <w:spacing w:val="1"/>
          <w:kern w:val="2"/>
          <w:sz w:val="32"/>
          <w:szCs w:val="32"/>
          <w:lang w:val="en-US" w:eastAsia="en-US" w:bidi="ar-SA"/>
        </w:rPr>
        <w:t>落实优惠政策，引导企业开展绿色化改造。三是加强跟踪问效。对责任落实不到位、工作推进不力</w:t>
      </w:r>
      <w:r>
        <w:rPr>
          <w:rFonts w:hint="eastAsia" w:ascii="仿宋_GB2312" w:hAnsi="仿宋_GB2312" w:eastAsia="仿宋_GB2312" w:cs="仿宋_GB2312"/>
          <w:color w:val="auto"/>
          <w:spacing w:val="1"/>
          <w:kern w:val="2"/>
          <w:sz w:val="32"/>
          <w:szCs w:val="32"/>
          <w:lang w:val="en-US" w:eastAsia="zh-CN" w:bidi="ar-SA"/>
        </w:rPr>
        <w:t>或</w:t>
      </w:r>
      <w:r>
        <w:rPr>
          <w:rFonts w:hint="eastAsia" w:ascii="仿宋_GB2312" w:hAnsi="仿宋_GB2312" w:eastAsia="仿宋_GB2312" w:cs="仿宋_GB2312"/>
          <w:color w:val="auto"/>
          <w:spacing w:val="1"/>
          <w:kern w:val="2"/>
          <w:sz w:val="32"/>
          <w:szCs w:val="32"/>
          <w:lang w:val="en-US" w:eastAsia="en-US" w:bidi="ar-SA"/>
        </w:rPr>
        <w:t>不作为、乱作为的</w:t>
      </w:r>
      <w:r>
        <w:rPr>
          <w:rFonts w:hint="eastAsia" w:ascii="仿宋_GB2312" w:hAnsi="仿宋_GB2312" w:eastAsia="仿宋_GB2312" w:cs="仿宋_GB2312"/>
          <w:color w:val="auto"/>
          <w:spacing w:val="1"/>
          <w:kern w:val="2"/>
          <w:sz w:val="32"/>
          <w:szCs w:val="32"/>
          <w:lang w:val="en-US" w:eastAsia="zh-CN" w:bidi="ar-SA"/>
        </w:rPr>
        <w:t>单位和个人</w:t>
      </w:r>
      <w:r>
        <w:rPr>
          <w:rFonts w:hint="eastAsia" w:ascii="仿宋_GB2312" w:hAnsi="仿宋_GB2312" w:eastAsia="仿宋_GB2312" w:cs="仿宋_GB2312"/>
          <w:color w:val="auto"/>
          <w:spacing w:val="1"/>
          <w:kern w:val="2"/>
          <w:sz w:val="32"/>
          <w:szCs w:val="32"/>
          <w:lang w:val="en-US" w:eastAsia="en-US" w:bidi="ar-SA"/>
        </w:rPr>
        <w:t>，</w:t>
      </w:r>
      <w:r>
        <w:rPr>
          <w:rFonts w:hint="eastAsia" w:ascii="仿宋_GB2312" w:hAnsi="仿宋_GB2312" w:eastAsia="仿宋_GB2312" w:cs="仿宋_GB2312"/>
          <w:color w:val="auto"/>
          <w:spacing w:val="1"/>
          <w:kern w:val="2"/>
          <w:sz w:val="32"/>
          <w:szCs w:val="32"/>
          <w:lang w:val="en-US" w:eastAsia="zh-CN" w:bidi="ar-SA"/>
        </w:rPr>
        <w:t>依法依规</w:t>
      </w:r>
      <w:r>
        <w:rPr>
          <w:rFonts w:hint="eastAsia" w:ascii="仿宋_GB2312" w:hAnsi="仿宋_GB2312" w:eastAsia="仿宋_GB2312" w:cs="仿宋_GB2312"/>
          <w:color w:val="auto"/>
          <w:spacing w:val="1"/>
          <w:kern w:val="2"/>
          <w:sz w:val="32"/>
          <w:szCs w:val="32"/>
          <w:lang w:val="en-US" w:eastAsia="en-US" w:bidi="ar-SA"/>
        </w:rPr>
        <w:t>开展约谈督导、责任追究等，压紧压实责任。</w:t>
      </w:r>
    </w:p>
    <w:sectPr>
      <w:headerReference r:id="rId5" w:type="default"/>
      <w:footerReference r:id="rId6" w:type="default"/>
      <w:footerReference r:id="rId7" w:type="even"/>
      <w:pgSz w:w="11910" w:h="16840"/>
      <w:pgMar w:top="2098" w:right="1474" w:bottom="1984" w:left="1587" w:header="0" w:footer="954"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BC5C0B-C2A9-4B9C-9545-9670A4E234B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28A77BC7-A1E4-41CE-8A6D-6A7673A23F91}"/>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3" w:fontKey="{61D287F9-0588-41E5-83FB-7FBC983260DB}"/>
  </w:font>
  <w:font w:name="方正小标宋_GBK">
    <w:panose1 w:val="03000509000000000000"/>
    <w:charset w:val="86"/>
    <w:family w:val="auto"/>
    <w:pitch w:val="default"/>
    <w:sig w:usb0="00000001" w:usb1="080E0000" w:usb2="00000000" w:usb3="00000000" w:csb0="00040000" w:csb1="00000000"/>
    <w:embedRegular r:id="rId4" w:fontKey="{1BFAFEB8-8A8D-4EB9-AB4E-321DD2BE31C2}"/>
  </w:font>
  <w:font w:name="仿宋_GB2312">
    <w:panose1 w:val="02010609030101010101"/>
    <w:charset w:val="86"/>
    <w:family w:val="auto"/>
    <w:pitch w:val="default"/>
    <w:sig w:usb0="00000001" w:usb1="080E0000" w:usb2="00000000" w:usb3="00000000" w:csb0="00040000" w:csb1="00000000"/>
    <w:embedRegular r:id="rId5" w:fontKey="{F464D595-1392-4FCF-A05A-F711BBD20AB2}"/>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F06D8">
    <w:pPr>
      <w:pStyle w:val="5"/>
      <w:spacing w:before="0" w:line="14" w:lineRule="auto"/>
      <w:ind w:left="0"/>
      <w:rPr>
        <w:sz w:val="20"/>
      </w:rPr>
    </w:pPr>
    <w:r>
      <w:rPr>
        <w:sz w:val="20"/>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8CD3706">
                          <w:pPr>
                            <w:pStyle w:val="7"/>
                            <w:rPr>
                              <w:rFonts w:hint="eastAsia"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hint="eastAsia" w:ascii="宋体" w:hAnsi="宋体" w:eastAsia="宋体" w:cs="宋体"/>
                              <w:sz w:val="28"/>
                              <w:szCs w:val="40"/>
                            </w:rPr>
                            <w:t>26</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wps:txbx>
                    <wps:bodyPr vert="horz" wrap="none" lIns="0" tIns="0" rIns="0" bIns="0" anchor="t" upright="0">
                      <a:spAutoFit/>
                    </wps:bodyPr>
                  </wps:wsp>
                </a:graphicData>
              </a:graphic>
            </wp:anchor>
          </w:drawing>
        </mc:Choice>
        <mc:Fallback>
          <w:pict>
            <v:rect id="文本框 1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iPvgdIBAACfAwAADgAAAAAAAAABACAAAAAfAQAA&#10;ZHJzL2Uyb0RvYy54bWxQSwUGAAAAAAYABgBZAQAAYwUAAAAA&#10;">
              <v:fill on="f" focussize="0,0"/>
              <v:stroke on="f"/>
              <v:imagedata o:title=""/>
              <o:lock v:ext="edit" aspectratio="f"/>
              <v:textbox inset="0mm,0mm,0mm,0mm" style="mso-fit-shape-to-text:t;">
                <w:txbxContent>
                  <w:p w14:paraId="18CD3706">
                    <w:pPr>
                      <w:pStyle w:val="7"/>
                      <w:rPr>
                        <w:rFonts w:hint="eastAsia"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hint="eastAsia" w:ascii="宋体" w:hAnsi="宋体" w:eastAsia="宋体" w:cs="宋体"/>
                        <w:sz w:val="28"/>
                        <w:szCs w:val="40"/>
                      </w:rPr>
                      <w:t>26</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AA7DC">
    <w:pPr>
      <w:pStyle w:val="5"/>
      <w:spacing w:before="0" w:line="14" w:lineRule="auto"/>
      <w:ind w:left="0"/>
      <w:rPr>
        <w:sz w:val="20"/>
      </w:rPr>
    </w:pPr>
    <w:r>
      <w:rPr>
        <w:sz w:val="20"/>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81E549F">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upright="0">
                      <a:spAutoFit/>
                    </wps:bodyPr>
                  </wps:wsp>
                </a:graphicData>
              </a:graphic>
            </wp:anchor>
          </w:drawing>
        </mc:Choice>
        <mc:Fallback>
          <w:pict>
            <v:rect id="文本框 1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CxXSFG1AEAAJ8DAAAOAAAAAAAAAAEAIAAAAB8B&#10;AABkcnMvZTJvRG9jLnhtbFBLBQYAAAAABgAGAFkBAABlBQAAAAA=&#10;">
              <v:fill on="f" focussize="0,0"/>
              <v:stroke on="f"/>
              <v:imagedata o:title=""/>
              <o:lock v:ext="edit" aspectratio="f"/>
              <v:textbox inset="0mm,0mm,0mm,0mm" style="mso-fit-shape-to-text:t;">
                <w:txbxContent>
                  <w:p w14:paraId="681E549F">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8F5E1">
    <w:pPr>
      <w:pBdr>
        <w:bottom w:val="none" w:color="auto" w:sz="0" w:space="0"/>
      </w:pBdr>
      <w:tabs>
        <w:tab w:val="center" w:pos="4153"/>
        <w:tab w:val="right" w:pos="8306"/>
      </w:tabs>
      <w:snapToGrid w:val="0"/>
      <w:spacing w:line="240" w:lineRule="atLeast"/>
      <w:ind w:firstLine="360" w:firstLineChars="200"/>
      <w:jc w:val="center"/>
      <w:rPr>
        <w:rFonts w:ascii="Times New Roman" w:hAnsi="Times New Roman" w:eastAsia="仿宋"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022E6"/>
    <w:rsid w:val="0664493D"/>
    <w:rsid w:val="0ABC5E6F"/>
    <w:rsid w:val="1A746C24"/>
    <w:rsid w:val="1F861028"/>
    <w:rsid w:val="21425423"/>
    <w:rsid w:val="247C6E9E"/>
    <w:rsid w:val="24A33FFE"/>
    <w:rsid w:val="284919A9"/>
    <w:rsid w:val="33E365F1"/>
    <w:rsid w:val="3AD30916"/>
    <w:rsid w:val="3B191D2F"/>
    <w:rsid w:val="3C7B618D"/>
    <w:rsid w:val="3C9D1F53"/>
    <w:rsid w:val="41635DB3"/>
    <w:rsid w:val="424C57A2"/>
    <w:rsid w:val="464C0834"/>
    <w:rsid w:val="4ED41501"/>
    <w:rsid w:val="53EC2E48"/>
    <w:rsid w:val="56376A81"/>
    <w:rsid w:val="563805C7"/>
    <w:rsid w:val="575E405D"/>
    <w:rsid w:val="5BDF3161"/>
    <w:rsid w:val="631D6B7A"/>
    <w:rsid w:val="638E1950"/>
    <w:rsid w:val="63990F20"/>
    <w:rsid w:val="64BE438D"/>
    <w:rsid w:val="6B67752D"/>
    <w:rsid w:val="6BA854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 w:hAnsi="仿宋" w:eastAsia="仿宋" w:cs="仿宋"/>
      <w:sz w:val="22"/>
      <w:szCs w:val="22"/>
      <w:lang w:val="en-US" w:eastAsia="en-US" w:bidi="ar-SA"/>
    </w:rPr>
  </w:style>
  <w:style w:type="paragraph" w:styleId="3">
    <w:name w:val="heading 1"/>
    <w:basedOn w:val="1"/>
    <w:next w:val="1"/>
    <w:qFormat/>
    <w:uiPriority w:val="1"/>
    <w:pPr>
      <w:spacing w:line="647" w:lineRule="exact"/>
      <w:ind w:left="81"/>
      <w:outlineLvl w:val="1"/>
    </w:pPr>
    <w:rPr>
      <w:rFonts w:ascii="方正小标宋简体" w:hAnsi="方正小标宋简体" w:eastAsia="方正小标宋简体" w:cs="方正小标宋简体"/>
      <w:sz w:val="44"/>
      <w:szCs w:val="44"/>
    </w:rPr>
  </w:style>
  <w:style w:type="paragraph" w:styleId="4">
    <w:name w:val="heading 2"/>
    <w:basedOn w:val="5"/>
    <w:next w:val="1"/>
    <w:qFormat/>
    <w:uiPriority w:val="0"/>
    <w:pPr>
      <w:spacing w:before="6"/>
      <w:ind w:left="860"/>
      <w:outlineLvl w:val="1"/>
    </w:pPr>
    <w:rPr>
      <w:rFonts w:ascii="黑体" w:eastAsia="黑体"/>
    </w:rPr>
  </w:style>
  <w:style w:type="paragraph" w:styleId="6">
    <w:name w:val="heading 3"/>
    <w:basedOn w:val="5"/>
    <w:next w:val="1"/>
    <w:qFormat/>
    <w:uiPriority w:val="0"/>
    <w:pPr>
      <w:spacing w:line="600" w:lineRule="exact"/>
      <w:ind w:left="0" w:firstLine="640" w:firstLineChars="200"/>
      <w:outlineLvl w:val="2"/>
    </w:pPr>
    <w:rPr>
      <w:rFonts w:ascii="楷体" w:hAnsi="楷体" w:eastAsia="楷体"/>
    </w:rPr>
  </w:style>
  <w:style w:type="character" w:default="1" w:styleId="12">
    <w:name w:val="Default Paragraph Font"/>
    <w:qFormat/>
    <w:uiPriority w:val="1"/>
  </w:style>
  <w:style w:type="table" w:default="1" w:styleId="10">
    <w:name w:val="Normal Table"/>
    <w:qFormat/>
    <w:uiPriority w:val="0"/>
    <w:tblPr>
      <w:tblCellMar>
        <w:top w:w="0" w:type="dxa"/>
        <w:left w:w="108" w:type="dxa"/>
        <w:bottom w:w="0" w:type="dxa"/>
        <w:right w:w="108" w:type="dxa"/>
      </w:tblCellMar>
    </w:tblPr>
  </w:style>
  <w:style w:type="paragraph" w:styleId="2">
    <w:name w:val="Normal Indent"/>
    <w:qFormat/>
    <w:uiPriority w:val="99"/>
    <w:pPr>
      <w:widowControl w:val="0"/>
      <w:ind w:firstLine="420"/>
      <w:jc w:val="both"/>
    </w:pPr>
    <w:rPr>
      <w:rFonts w:ascii="Times New Roman" w:hAnsi="Times New Roman" w:eastAsia="宋体" w:cs="Times New Roman"/>
      <w:kern w:val="2"/>
      <w:sz w:val="21"/>
      <w:szCs w:val="24"/>
      <w:lang w:val="en-US" w:eastAsia="zh-CN" w:bidi="ar-SA"/>
    </w:rPr>
  </w:style>
  <w:style w:type="paragraph" w:styleId="5">
    <w:name w:val="Body Text"/>
    <w:basedOn w:val="1"/>
    <w:qFormat/>
    <w:uiPriority w:val="1"/>
    <w:pPr>
      <w:spacing w:before="190"/>
      <w:ind w:left="220"/>
    </w:pPr>
    <w:rPr>
      <w:rFonts w:ascii="仿宋" w:hAnsi="仿宋" w:eastAsia="仿宋" w:cs="仿宋"/>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qFormat/>
    <w:uiPriority w:val="0"/>
    <w:pPr>
      <w:widowControl w:val="0"/>
      <w:spacing w:before="100" w:beforeAutospacing="1" w:after="100" w:afterAutospacing="1"/>
      <w:ind w:left="0" w:right="0"/>
      <w:jc w:val="left"/>
    </w:pPr>
    <w:rPr>
      <w:rFonts w:ascii="Times New Roman" w:hAnsi="Times New Roman" w:eastAsia="宋体" w:cs="Times New Roman"/>
      <w:kern w:val="0"/>
      <w:sz w:val="24"/>
      <w:szCs w:val="24"/>
      <w:lang w:val="en-US" w:eastAsia="zh-C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rPr>
  </w:style>
  <w:style w:type="character" w:styleId="14">
    <w:name w:val="Emphasis"/>
    <w:basedOn w:val="12"/>
    <w:qFormat/>
    <w:uiPriority w:val="0"/>
    <w:rPr>
      <w:i/>
    </w:rPr>
  </w:style>
  <w:style w:type="table" w:customStyle="1" w:styleId="15">
    <w:name w:val="Table Normal"/>
    <w:qFormat/>
    <w:uiPriority w:val="2"/>
    <w:tblPr>
      <w:tblCellMar>
        <w:top w:w="0" w:type="dxa"/>
        <w:left w:w="0" w:type="dxa"/>
        <w:bottom w:w="0" w:type="dxa"/>
        <w:right w:w="0" w:type="dxa"/>
      </w:tblCellMar>
    </w:tblPr>
  </w:style>
  <w:style w:type="paragraph" w:styleId="16">
    <w:name w:val="List Paragraph"/>
    <w:basedOn w:val="1"/>
    <w:qFormat/>
    <w:uiPriority w:val="1"/>
  </w:style>
  <w:style w:type="paragraph" w:customStyle="1" w:styleId="17">
    <w:name w:val="Table Paragraph"/>
    <w:basedOn w:val="1"/>
    <w:qFormat/>
    <w:uiPriority w:val="1"/>
    <w:pPr>
      <w:spacing w:before="131"/>
      <w:ind w:left="127"/>
      <w:jc w:val="center"/>
    </w:pPr>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3680</Words>
  <Characters>3859</Characters>
  <Paragraphs>118</Paragraphs>
  <TotalTime>106</TotalTime>
  <ScaleCrop>false</ScaleCrop>
  <LinksUpToDate>false</LinksUpToDate>
  <CharactersWithSpaces>3861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2026-08-20T03:15:00Z</dcterms:created>
  <dc:creator>Administrator</dc:creator>
  <cp:lastModifiedBy>WPS_1706057821</cp:lastModifiedBy>
  <cp:lastPrinted>2026-08-06T02:55:00Z</cp:lastPrinted>
  <dcterms:modified xsi:type="dcterms:W3CDTF">2026-09-23T08:44:26Z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2025-12-25T00:00:00Z</vt:filetime>
  </property>
  <property fmtid="{D5CDD505-2E9C-101B-9397-08002B2CF9AE}" pid="3" name="Creator">
    <vt:lpwstr>TOSHIBA e-STUDIO2555C</vt:lpwstr>
  </property>
  <property fmtid="{D5CDD505-2E9C-101B-9397-08002B2CF9AE}" pid="4" name="LastSaved">
    <vt:filetime>2026-01-04T00:00:00Z</vt:filetime>
  </property>
  <property fmtid="{D5CDD505-2E9C-101B-9397-08002B2CF9AE}" pid="5" name="KSOTemplateDocerSaveRecord">
    <vt:lpwstr>eyJoZGlkIjoiZDQ3NWYyNzM2MWM3YTE5Mzg0MjkyOTllZmY2YmFiMWUiLCJ1c2VySWQiOiIxNTc2NjE0MzcwIn0=</vt:lpwstr>
  </property>
  <property fmtid="{D5CDD505-2E9C-101B-9397-08002B2CF9AE}" pid="6" name="KSOProductBuildVer">
    <vt:lpwstr>2052-12.1.0.28505</vt:lpwstr>
  </property>
  <property fmtid="{D5CDD505-2E9C-101B-9397-08002B2CF9AE}" pid="7" name="ICV">
    <vt:lpwstr>A299C0E7441B472A849EBCC25613AA2F_13</vt:lpwstr>
  </property>
</Properties>
</file>